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F37F5" w:rsidRPr="00E82507" w:rsidTr="00E475ED">
        <w:trPr>
          <w:trHeight w:val="375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E475ED">
        <w:trPr>
          <w:trHeight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E475ED">
        <w:trPr>
          <w:trHeight w:hRule="exact"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F7109E" w:rsidRPr="00E82507" w:rsidTr="00BA37E0">
        <w:trPr>
          <w:trHeight w:hRule="exact" w:val="228"/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BA37E0" w:rsidRPr="00E82507" w:rsidTr="00BA37E0">
        <w:trPr>
          <w:trHeight w:val="233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E0" w:rsidRPr="00E82507" w:rsidRDefault="00BA37E0" w:rsidP="00BA37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A37E0" w:rsidRPr="00594B32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7E0" w:rsidRPr="00594B32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BA37E0" w:rsidRPr="00E82507" w:rsidTr="00BA37E0">
        <w:trPr>
          <w:trHeight w:val="15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48,034.60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27,796.13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26,679.75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26,428.49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27,428.44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27,703.24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32,027.29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41,462.32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32,311.96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31,672.69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31,262.71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25,258.81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18,682.01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20,507.00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19,699.71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22,682.39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14,391.67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10,410.77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10,616.16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11,474.81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34,977.15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34,406.47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39,436.51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44,246.81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30,544.76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22,666.71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22,997.38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24,242.42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27,294.37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1,553.10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1,209.28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1,145.06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1,086.87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989.14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1,527.33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9,811.17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9,019.61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8,549.89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9,029.34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8,662.15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11,033.26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30,006.66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22,750.34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24,046.01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23,368.97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26,380.83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15,713.93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16,312.62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15,773.84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15,210.00</w:t>
            </w:r>
          </w:p>
        </w:tc>
      </w:tr>
      <w:tr w:rsidR="00BA37E0" w:rsidRPr="00E82507" w:rsidTr="00BA37E0">
        <w:trPr>
          <w:trHeight w:val="27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50,623.17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42,946.83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49,508.57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52,689.24</w:t>
            </w:r>
          </w:p>
        </w:tc>
      </w:tr>
      <w:tr w:rsidR="00BA37E0" w:rsidRPr="00E82507" w:rsidTr="00BA37E0">
        <w:trPr>
          <w:trHeight w:val="27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3,075,085.61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13,826,719.09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20,067,789.77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24,224,989.27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30,661,440.04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45,695,076.68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17,649.10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16,003.36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15,692.65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14,575.14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14,559.36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15,185.12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</w:t>
            </w:r>
            <w:r>
              <w:rPr>
                <w:color w:val="000000"/>
                <w:sz w:val="14"/>
                <w:szCs w:val="14"/>
              </w:rPr>
              <w:t>.</w:t>
            </w:r>
            <w:r w:rsidRPr="00E82507">
              <w:rPr>
                <w:color w:val="000000"/>
                <w:sz w:val="14"/>
                <w:szCs w:val="14"/>
              </w:rPr>
              <w:t xml:space="preserve">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14,605.12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13,636.74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15,138.82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14,277.88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14,157.28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17,663.99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67.62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13,497.82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10,267.28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11,017.04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10,629.13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10,682.80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12,084.07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23,886.25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14,998.56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15,747.19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16,373.27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15,531.97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5,293.68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4,907.31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3,611.25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9,046.10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10,147.55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8,386.80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6,826.24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6,299.57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8,291.79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15,257.77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12,354.52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13,196.44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31,213.11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20,525.87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19,354.45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20,193.24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19,829.11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18,929.97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18,534.43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22,307.72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8,149.97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6,680.44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7,320.67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6,714.24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8,777.52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95,311.90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100,602.48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109,782.51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117,071.04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117,287.20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52,188.36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56,375.54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53,977.82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55,746.69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62,751.72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47,176.51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50,422.21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44,942.40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50,379.52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40,269.61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34,705.13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34,331.45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34,767.34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37,180.12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34,894.97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17,965.11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14,523.35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15,419.19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14,181.30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1,956.58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1,845.50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1,933.57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66,316.31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51,268.10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47,309.67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48,303.65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47,629.48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46,803.62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33,421.83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36,627.25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35,817.16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37,110.69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37,304.73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33,968.83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40,907.40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34,114.65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31,378.17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32,615.99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32,793.16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28,429.64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4,385.82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3,148.99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21,642.85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21,787.58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22,227.72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22,479.87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335,258.06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340,551.11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345,299.36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352,376.98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322,065.92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9,859.61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9,009.95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7,842.31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8,288.00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A37E0" w:rsidRPr="00E82507" w:rsidTr="00BA37E0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CC48DE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A37E0" w:rsidRPr="00E82507" w:rsidTr="00BA37E0">
        <w:trPr>
          <w:trHeight w:val="162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7E0" w:rsidRPr="00E82507" w:rsidRDefault="00BA37E0" w:rsidP="00BA37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A37E0" w:rsidRPr="00E82507" w:rsidRDefault="00BA37E0" w:rsidP="00BA37E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A37E0" w:rsidRPr="00B631EC" w:rsidTr="00E475ED">
        <w:trPr>
          <w:trHeight w:hRule="exact" w:val="390"/>
          <w:jc w:val="center"/>
        </w:trPr>
        <w:tc>
          <w:tcPr>
            <w:tcW w:w="104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BA37E0" w:rsidRPr="00E82507" w:rsidRDefault="00BA37E0" w:rsidP="00BA37E0">
            <w:pPr>
              <w:jc w:val="right"/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BA37E0" w:rsidRPr="0024736D" w:rsidRDefault="00BA37E0" w:rsidP="00BA37E0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EF0C1C" w:rsidRPr="00B631EC" w:rsidTr="00EF0C1C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48,034.60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AC0BA6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41,452.69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32,027.29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28,111.03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80,370.86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70,748.13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0C1C" w:rsidRDefault="00EF0C1C" w:rsidP="00EF0C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:rsidR="00EF0C1C" w:rsidRPr="00E617AD" w:rsidRDefault="00EF0C1C" w:rsidP="00EF0C1C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94"/>
        <w:gridCol w:w="81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7109E" w:rsidRPr="00B631EC" w:rsidTr="006C5793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B631EC" w:rsidRDefault="00F7109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47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BA37E0" w:rsidRPr="00B631EC" w:rsidTr="00BA37E0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E0" w:rsidRPr="00B631EC" w:rsidRDefault="00BA37E0" w:rsidP="00BA37E0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594B32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594B32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8262F" w:rsidRDefault="00BA37E0" w:rsidP="00BA37E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BA37E0" w:rsidRPr="0017637B" w:rsidTr="00BA37E0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277,100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232,223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252,107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28,679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25,692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388,585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381,665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489,906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387,979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595,497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2,242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1,119,375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990,470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1,287,802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83,190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487,475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471,843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714,514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619,330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700,345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751,396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56,726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56,888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118,157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129,696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121,287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524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39,008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34,943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66,711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15,230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869,208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840,626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847,663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806,182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975,042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179,530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184,599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59,781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61,770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239,282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163,217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164,997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238,519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268,333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67,340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73,228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74,637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81,867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105,206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251,074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278,439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249,687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259,761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53,650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2,718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279,488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203,785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197,934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54,790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1,299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205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32,220</w:t>
            </w:r>
          </w:p>
        </w:tc>
      </w:tr>
      <w:tr w:rsidR="00BA37E0" w:rsidRPr="00CF65C3" w:rsidTr="00BA37E0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520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Default="00BA37E0" w:rsidP="00BA37E0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E65CB3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23,376</w:t>
            </w:r>
          </w:p>
        </w:tc>
      </w:tr>
      <w:tr w:rsidR="00BA37E0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BA37E0" w:rsidRPr="00CF65C3" w:rsidTr="00BA37E0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BA37E0" w:rsidRPr="00CF65C3" w:rsidTr="00BA37E0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24736D" w:rsidRDefault="00BA37E0" w:rsidP="00BA37E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37866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BA37E0" w:rsidRPr="00CE715E" w:rsidTr="00BA37E0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A37E0" w:rsidRPr="0024736D" w:rsidRDefault="00BA37E0" w:rsidP="00BA37E0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C2720C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6,771,943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6,272,510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6,108,170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6,289,899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6,279,677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37E0" w:rsidRPr="00BA37E0" w:rsidRDefault="00BA37E0" w:rsidP="00BA37E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7,232,132</w:t>
            </w:r>
          </w:p>
        </w:tc>
      </w:tr>
      <w:tr w:rsidR="00BA37E0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7E0" w:rsidRPr="00786DD6" w:rsidRDefault="00BA37E0" w:rsidP="00BA37E0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7,984.83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3,902.82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74320B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51,805.76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F0C1C" w:rsidRPr="00340CFB" w:rsidRDefault="00EF0C1C" w:rsidP="00EF0C1C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DE" w:rsidRDefault="00397FDE">
      <w:r>
        <w:separator/>
      </w:r>
    </w:p>
  </w:endnote>
  <w:endnote w:type="continuationSeparator" w:id="0">
    <w:p w:rsidR="00397FDE" w:rsidRDefault="003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9E" w:rsidRDefault="00F71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09E" w:rsidRDefault="00F71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9E" w:rsidRDefault="00F7109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5CB3">
      <w:rPr>
        <w:noProof/>
      </w:rPr>
      <w:t>139</w:t>
    </w:r>
    <w:r>
      <w:rPr>
        <w:noProof/>
      </w:rPr>
      <w:fldChar w:fldCharType="end"/>
    </w:r>
  </w:p>
  <w:p w:rsidR="00F7109E" w:rsidRDefault="00F710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DE" w:rsidRDefault="00397FDE">
      <w:r>
        <w:separator/>
      </w:r>
    </w:p>
  </w:footnote>
  <w:footnote w:type="continuationSeparator" w:id="0">
    <w:p w:rsidR="00397FDE" w:rsidRDefault="0039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0474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DE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5793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6EE6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37E0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0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CB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0C1C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09E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D06BD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D99B-2EBC-43D8-8C4B-E97115BE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7</Pages>
  <Words>4346</Words>
  <Characters>24776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62</cp:revision>
  <cp:lastPrinted>2023-06-16T04:48:00Z</cp:lastPrinted>
  <dcterms:created xsi:type="dcterms:W3CDTF">2022-11-04T05:47:00Z</dcterms:created>
  <dcterms:modified xsi:type="dcterms:W3CDTF">2023-08-29T05:43:00Z</dcterms:modified>
</cp:coreProperties>
</file>