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934D61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C77A8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A60D2F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D61" w:rsidRPr="00F019C6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934D61" w:rsidRPr="00F019C6" w:rsidRDefault="00934D61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4D61" w:rsidRPr="006032BD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4,447.0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4,936.7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4,900.7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6,272.2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Default="00434FC6" w:rsidP="00434FC6">
            <w:pPr>
              <w:spacing w:after="0" w:line="240" w:lineRule="auto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6,903.4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3,660.4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3,969.2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4,473.4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4,747.8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5,272.7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4,334.2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4,764.3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3,997.9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4,764.3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321.8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401.8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413.6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508.4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1,524.4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1,630.7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341.0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1,480.4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150.3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Default="00434FC6" w:rsidP="00434FC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5,796.3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6,800.5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8,345.6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9,648.5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10,306.7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6,878.5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8,323.2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9,735.8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10,399.7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4,694.3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5,197.9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7,104.0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8,532.0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9,084.0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3,144.3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3,472.2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4,776.2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6,016.2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6,264.8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2,619.7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2,749.7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1,213.3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1,316.4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196.5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i/>
                <w:sz w:val="16"/>
                <w:szCs w:val="16"/>
              </w:rPr>
              <w:t>425.0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1,550.0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1,725.7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2,515.8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2,819.2</w:t>
            </w:r>
          </w:p>
        </w:tc>
      </w:tr>
      <w:tr w:rsidR="00B16F3A" w:rsidRPr="00434642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1,680.7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1,203.7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1,315.7</w:t>
            </w:r>
          </w:p>
        </w:tc>
      </w:tr>
      <w:tr w:rsidR="00B16F3A" w:rsidRPr="00434642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741.5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581.7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545.4</w:t>
            </w:r>
          </w:p>
        </w:tc>
      </w:tr>
      <w:tr w:rsidR="00B16F3A" w:rsidRPr="00434642" w:rsidTr="00B16F3A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16F3A" w:rsidRPr="00934D61" w:rsidRDefault="00B16F3A" w:rsidP="00B16F3A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592.4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852.2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622.0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B16F3A" w:rsidRPr="00B16F3A" w:rsidRDefault="00B16F3A" w:rsidP="00B16F3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B16F3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770.2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(212.1)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(78.0)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(87.3)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(93.0)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(1,349.3)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(1,863.8)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(3,444.9)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(3,376.3)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(3,403.3)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3,444.9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3,376.3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3,403.3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895.5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3,028.2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2,480.8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2,065.2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787.0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1,045.8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2,263.2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1,940.6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1,869.0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276.6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540.3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196.2</w:t>
            </w:r>
          </w:p>
        </w:tc>
      </w:tr>
      <w:tr w:rsidR="00434FC6" w:rsidRPr="00434642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934D61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434FC6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</w:tr>
      <w:tr w:rsidR="00934D61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34D61" w:rsidRPr="00445E39" w:rsidRDefault="00934D61" w:rsidP="00934D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934D61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934D61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934D61" w:rsidRPr="00434642" w:rsidRDefault="00934D61" w:rsidP="00934D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934D61" w:rsidRPr="00434642" w:rsidRDefault="00934D61" w:rsidP="00934D61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E3332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EE3332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Default="00EE3332" w:rsidP="00EE3332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Default="00EE3332" w:rsidP="00EE333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3,647.5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4,334.2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5,247.8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3,112.0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3,361.0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3,997.9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4,764.3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1,191.6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1,343.2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1,524.3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1,731.9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1,920.4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2,017.8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2,383.9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3,032.4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496.0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685.4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626.4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765.2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1,323.3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1,464.9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1,596.8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1,990.2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198.6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250.5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277.1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265.1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242.2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336.3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483.5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16.9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19.4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22.5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293.7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424.7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703.0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901.6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363.9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1,448.1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1,021.9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26.1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25.0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76.2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69.7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40.1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43.9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127.0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39.1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935.5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650.5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14.9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10.3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79.4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70.9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5.2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3.0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3.5</w:t>
            </w:r>
          </w:p>
        </w:tc>
      </w:tr>
      <w:tr w:rsidR="00434FC6" w:rsidRPr="00434FC6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305.7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Cs/>
                <w:sz w:val="16"/>
                <w:szCs w:val="16"/>
              </w:rPr>
              <w:t>81.3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Cs/>
                <w:sz w:val="16"/>
                <w:szCs w:val="16"/>
              </w:rPr>
              <w:t>71.6</w:t>
            </w:r>
          </w:p>
        </w:tc>
      </w:tr>
      <w:tr w:rsidR="00434FC6" w:rsidRPr="003C191D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4,080.1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4,549.0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4,435.6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5,782.3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6,269.7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1,862.2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1,965.8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2,397.8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2,504.0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2,741.9</w:t>
            </w:r>
          </w:p>
        </w:tc>
      </w:tr>
      <w:tr w:rsidR="00434FC6" w:rsidRPr="000028E1" w:rsidTr="00434FC6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4FC6" w:rsidRPr="00236F80" w:rsidRDefault="00434FC6" w:rsidP="00434FC6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2,218.0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2,583.2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866F02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66F0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3,278.3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34FC6" w:rsidRPr="00434FC6" w:rsidRDefault="00434FC6" w:rsidP="00434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FC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3,527.8</w:t>
            </w:r>
          </w:p>
        </w:tc>
      </w:tr>
      <w:tr w:rsidR="00EE3332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EE3332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F70E89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</w:t>
            </w:r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by </w:t>
            </w:r>
            <w:proofErr w:type="spellStart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="004D29A7">
              <w:rPr>
                <w:rFonts w:ascii="Times New Roman" w:eastAsia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EE3332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A60D2F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EE3332" w:rsidRPr="00F019C6" w:rsidRDefault="00EE3332" w:rsidP="000A463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</w:t>
            </w:r>
            <w:r w:rsidR="000E34E5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+c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3,921.1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4,361.8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4,704.3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6,818.9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7,244.8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3,494.3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3,814.5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6,092.6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6,348.7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2,137.2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2,284.1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4,422.6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5,032.3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1,263.4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1,348.4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2,749.7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1,150.8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1,220.3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2,313.1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2,523.8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112.6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225.9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303.8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440.1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911.6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83.8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361.9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352.1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851.8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827.7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255.2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505.8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380" w:rsidRPr="00003035" w:rsidRDefault="008F6380" w:rsidP="008F6380">
            <w:pPr>
              <w:spacing w:after="0" w:line="240" w:lineRule="auto"/>
              <w:ind w:left="144"/>
              <w:rPr>
                <w:rFonts w:ascii="Times New Roman" w:eastAsia="Times New Roman" w:hAnsi="Times New Roman"/>
                <w:sz w:val="16"/>
                <w:szCs w:val="15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 w:rsidRPr="00003035">
              <w:rPr>
                <w:rFonts w:ascii="Times New Roman" w:eastAsia="Times New Roman" w:hAnsi="Times New Roman"/>
                <w:sz w:val="16"/>
                <w:szCs w:val="15"/>
              </w:rPr>
              <w:t>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F90C6A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7D653A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425.0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888.1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1,316.4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bookmarkStart w:id="0" w:name="_GoBack" w:colFirst="1" w:colLast="6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69.0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37.0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A67BBD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A67BBD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bookmarkEnd w:id="0"/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742.6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867.5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889.8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726.3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789.1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717.7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687.7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694.6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602.1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733.3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622.3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667.3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i/>
                <w:sz w:val="16"/>
                <w:szCs w:val="16"/>
              </w:rPr>
              <w:t>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154.5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226.1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27.3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24.9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94.5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(9.9)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17.5</w:t>
            </w:r>
          </w:p>
        </w:tc>
      </w:tr>
      <w:tr w:rsidR="008F6380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(12.8)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76.9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6380" w:rsidRPr="00003035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</w:pPr>
            <w:r w:rsidRPr="00003035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107.0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(1,778.5)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(3,540.7)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(3,716.9)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1,556.7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1,847.9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3,601.3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3,716.9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370.5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1,338.1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1,186.3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1,306.5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2,705.7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2,378.9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992.3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1,030.2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2,182.8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2,169.6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193.9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276.3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523.0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209.2</w:t>
            </w:r>
          </w:p>
        </w:tc>
      </w:tr>
      <w:tr w:rsidR="008F6380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6380" w:rsidRPr="00434642" w:rsidRDefault="008F6380" w:rsidP="008F638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6380" w:rsidRPr="00D93DEB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D93DEB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6380" w:rsidRPr="008F6380" w:rsidRDefault="008F6380" w:rsidP="008F63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8F6380">
              <w:rPr>
                <w:rFonts w:ascii="Times New Roman" w:eastAsia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EE3332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557BF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8F4E7E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019C6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DE5C5C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3332" w:rsidRPr="00F90C6A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EE3332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332" w:rsidRPr="00724C80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332" w:rsidRPr="008A51F1" w:rsidRDefault="00EE3332" w:rsidP="00EE33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EE3332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332" w:rsidRPr="00434642" w:rsidRDefault="00EE3332" w:rsidP="00EE333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EE3332" w:rsidRPr="00434642" w:rsidRDefault="00EE3332" w:rsidP="00EE3332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1,485.3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213.5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608.4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2,307.2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3,843.8</w:t>
            </w:r>
          </w:p>
        </w:tc>
      </w:tr>
      <w:tr w:rsidR="00146E10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1,445.5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1,459.2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238.2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F7722">
              <w:rPr>
                <w:rFonts w:ascii="Times New Roman" w:hAnsi="Times New Roman"/>
                <w:sz w:val="16"/>
                <w:szCs w:val="16"/>
              </w:rPr>
              <w:t>685.6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2,383.0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FF7722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F7722">
              <w:rPr>
                <w:rFonts w:ascii="Times New Roman" w:hAnsi="Times New Roman"/>
                <w:b/>
                <w:sz w:val="16"/>
                <w:szCs w:val="16"/>
              </w:rPr>
              <w:t>3,828.5</w:t>
            </w:r>
          </w:p>
        </w:tc>
      </w:tr>
      <w:tr w:rsidR="00146E10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1,523.4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1,596.9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2,474.0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3,997.4</w:t>
            </w:r>
          </w:p>
        </w:tc>
      </w:tr>
      <w:tr w:rsidR="00146E10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C569F1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46E10" w:rsidRPr="00434642" w:rsidTr="00146E1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768AE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  <w:r w:rsidR="00B768AE">
              <w:rPr>
                <w:rFonts w:ascii="Times New Roman" w:hAnsi="Times New Roman"/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434642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1,726.0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1,981.4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279.6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46E10">
              <w:rPr>
                <w:rFonts w:ascii="Times New Roman" w:hAnsi="Times New Roman"/>
                <w:sz w:val="16"/>
                <w:szCs w:val="16"/>
              </w:rPr>
              <w:t>747.3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3,008.2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146E10" w:rsidRDefault="00146E10" w:rsidP="00146E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46E10">
              <w:rPr>
                <w:rFonts w:ascii="Times New Roman" w:hAnsi="Times New Roman"/>
                <w:b/>
                <w:sz w:val="16"/>
                <w:szCs w:val="16"/>
              </w:rPr>
              <w:t>4,734.2</w:t>
            </w:r>
          </w:p>
        </w:tc>
      </w:tr>
      <w:tr w:rsidR="00146E10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E10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6E10" w:rsidRPr="00B12729" w:rsidRDefault="00146E10" w:rsidP="00146E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68AE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243.0</w:t>
            </w:r>
          </w:p>
        </w:tc>
      </w:tr>
      <w:tr w:rsidR="00B768AE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F7722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F772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229.3</w:t>
            </w:r>
          </w:p>
        </w:tc>
      </w:tr>
      <w:tr w:rsidR="00B768AE" w:rsidRPr="00434642" w:rsidTr="005F4FA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7F732B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F732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464.7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14227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296.2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417.5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336.1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345.4</w:t>
            </w:r>
          </w:p>
        </w:tc>
      </w:tr>
      <w:tr w:rsidR="00B768AE" w:rsidRPr="00434642" w:rsidTr="007F732B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F90C6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518.5</w:t>
            </w:r>
          </w:p>
        </w:tc>
      </w:tr>
      <w:tr w:rsidR="00B768AE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2021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360.9</w:t>
            </w:r>
          </w:p>
        </w:tc>
      </w:tr>
      <w:tr w:rsidR="00B768AE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349.1</w:t>
            </w:r>
          </w:p>
        </w:tc>
      </w:tr>
      <w:tr w:rsidR="00B768AE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90C6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190.3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A22CF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22CF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480.8</w:t>
            </w:r>
          </w:p>
        </w:tc>
      </w:tr>
      <w:tr w:rsidR="00B768AE" w:rsidRPr="00434642" w:rsidTr="00F90C6A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F90C6A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:rsidTr="00B768AE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9D1660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B768AE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B768AE" w:rsidRPr="00434642" w:rsidTr="00B768AE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C90C6B" w:rsidRDefault="00B768AE" w:rsidP="00B768AE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68AE" w:rsidRPr="00B768AE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B768AE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434642" w:rsidRDefault="00B768AE" w:rsidP="00B768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557BFA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DE5C5C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768AE" w:rsidRPr="00DE5C5C" w:rsidRDefault="00B768AE" w:rsidP="00B768AE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768AE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68AE" w:rsidRDefault="00B768AE" w:rsidP="00B768AE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B768AE" w:rsidRPr="00434642" w:rsidRDefault="00A67BBD" w:rsidP="00B768AE">
            <w:pPr>
              <w:spacing w:after="0" w:line="240" w:lineRule="auto"/>
              <w:rPr>
                <w:rFonts w:ascii="Times New Roman" w:hAnsi="Times New Roman"/>
              </w:rPr>
            </w:pPr>
            <w:hyperlink r:id="rId8" w:history="1">
              <w:r w:rsidR="00B768AE" w:rsidRPr="00CD2D6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</w:p>
        </w:tc>
      </w:tr>
    </w:tbl>
    <w:p w:rsidR="00FA482D" w:rsidRPr="00434642" w:rsidRDefault="00FA482D" w:rsidP="00D642D9"/>
    <w:sectPr w:rsidR="00FA482D" w:rsidRPr="00434642" w:rsidSect="00F43D10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9C7" w:rsidRDefault="006139C7">
      <w:r>
        <w:separator/>
      </w:r>
    </w:p>
  </w:endnote>
  <w:endnote w:type="continuationSeparator" w:id="0">
    <w:p w:rsidR="006139C7" w:rsidRDefault="0061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10" w:rsidRDefault="00146E10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6E10" w:rsidRDefault="00146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10" w:rsidRDefault="00146E10">
    <w:pPr>
      <w:pStyle w:val="Footer"/>
      <w:jc w:val="center"/>
      <w:rPr>
        <w:rFonts w:ascii="Times New Roman" w:hAnsi="Times New Roman"/>
        <w:sz w:val="20"/>
        <w:szCs w:val="20"/>
      </w:rPr>
    </w:pPr>
  </w:p>
  <w:p w:rsidR="00146E10" w:rsidRPr="00724C80" w:rsidRDefault="00146E10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A67BBD">
      <w:rPr>
        <w:rFonts w:ascii="Times New Roman" w:hAnsi="Times New Roman"/>
        <w:noProof/>
        <w:sz w:val="20"/>
        <w:szCs w:val="20"/>
      </w:rPr>
      <w:t>158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146E10" w:rsidRDefault="00146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9C7" w:rsidRDefault="006139C7">
      <w:r>
        <w:separator/>
      </w:r>
    </w:p>
  </w:footnote>
  <w:footnote w:type="continuationSeparator" w:id="0">
    <w:p w:rsidR="006139C7" w:rsidRDefault="00613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10" w:rsidRDefault="00146E10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1445"/>
    <w:rsid w:val="000A404E"/>
    <w:rsid w:val="000A4638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34E5"/>
    <w:rsid w:val="000E4A44"/>
    <w:rsid w:val="000E5496"/>
    <w:rsid w:val="000E561F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46E10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633"/>
    <w:rsid w:val="001B37B2"/>
    <w:rsid w:val="001B6B3A"/>
    <w:rsid w:val="001B7256"/>
    <w:rsid w:val="001B7A17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87AC5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34FC6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732B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66F02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5230"/>
    <w:rsid w:val="00BA5A3A"/>
    <w:rsid w:val="00BB43F8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3941"/>
    <w:rsid w:val="00C85EEA"/>
    <w:rsid w:val="00C90B4F"/>
    <w:rsid w:val="00C90C6B"/>
    <w:rsid w:val="00C94798"/>
    <w:rsid w:val="00C96F6A"/>
    <w:rsid w:val="00C97C80"/>
    <w:rsid w:val="00CA35F4"/>
    <w:rsid w:val="00CA3632"/>
    <w:rsid w:val="00CA5F71"/>
    <w:rsid w:val="00CA60A4"/>
    <w:rsid w:val="00CA6DA9"/>
    <w:rsid w:val="00CB1519"/>
    <w:rsid w:val="00CB4009"/>
    <w:rsid w:val="00CC4597"/>
    <w:rsid w:val="00CD2D6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5C5C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43D10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1177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C82FD-C33F-42D8-BD5E-2C66F7BA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4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Aftab Ahmad - Statistics &amp; DWH</cp:lastModifiedBy>
  <cp:revision>133</cp:revision>
  <cp:lastPrinted>2021-11-05T06:45:00Z</cp:lastPrinted>
  <dcterms:created xsi:type="dcterms:W3CDTF">2017-08-23T10:11:00Z</dcterms:created>
  <dcterms:modified xsi:type="dcterms:W3CDTF">2021-11-05T06:45:00Z</dcterms:modified>
</cp:coreProperties>
</file>