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8DF" w:rsidRPr="00D73095" w:rsidRDefault="00FB38DF" w:rsidP="00FB38DF">
      <w:pPr>
        <w:tabs>
          <w:tab w:val="left" w:pos="2205"/>
        </w:tabs>
        <w:jc w:val="center"/>
        <w:rPr>
          <w:b/>
          <w:sz w:val="40"/>
          <w:szCs w:val="40"/>
        </w:rPr>
      </w:pPr>
      <w:r w:rsidRPr="00D73095">
        <w:rPr>
          <w:b/>
          <w:sz w:val="40"/>
          <w:szCs w:val="40"/>
        </w:rPr>
        <w:t>Preface</w:t>
      </w:r>
    </w:p>
    <w:p w:rsidR="00FB38DF" w:rsidRPr="00D73095" w:rsidRDefault="00FB38DF" w:rsidP="00FB38DF">
      <w:pPr>
        <w:rPr>
          <w:b/>
          <w:sz w:val="40"/>
          <w:szCs w:val="40"/>
        </w:rPr>
      </w:pPr>
    </w:p>
    <w:p w:rsidR="00FB38DF" w:rsidRPr="00D73095" w:rsidRDefault="00FB38DF" w:rsidP="00FB38DF">
      <w:pPr>
        <w:rPr>
          <w:b/>
          <w:sz w:val="14"/>
          <w:szCs w:val="40"/>
        </w:rPr>
      </w:pPr>
    </w:p>
    <w:p w:rsidR="00FB38DF" w:rsidRDefault="00FB38DF" w:rsidP="00FB38DF">
      <w:pPr>
        <w:spacing w:line="360" w:lineRule="auto"/>
        <w:jc w:val="both"/>
        <w:rPr>
          <w:sz w:val="24"/>
          <w:szCs w:val="24"/>
        </w:rPr>
      </w:pPr>
      <w:r w:rsidRPr="00D73095">
        <w:rPr>
          <w:sz w:val="24"/>
          <w:szCs w:val="24"/>
        </w:rPr>
        <w:t xml:space="preserve">Statistics </w:t>
      </w:r>
      <w:r>
        <w:rPr>
          <w:sz w:val="24"/>
          <w:szCs w:val="24"/>
        </w:rPr>
        <w:t>and</w:t>
      </w:r>
      <w:r w:rsidRPr="00D73095">
        <w:rPr>
          <w:sz w:val="24"/>
          <w:szCs w:val="24"/>
        </w:rPr>
        <w:t xml:space="preserve"> D</w:t>
      </w:r>
      <w:r>
        <w:rPr>
          <w:sz w:val="24"/>
          <w:szCs w:val="24"/>
        </w:rPr>
        <w:t xml:space="preserve">ata Warehouse </w:t>
      </w:r>
      <w:r w:rsidRPr="00D73095">
        <w:rPr>
          <w:sz w:val="24"/>
          <w:szCs w:val="24"/>
        </w:rPr>
        <w:t xml:space="preserve">Department </w:t>
      </w:r>
      <w:r>
        <w:rPr>
          <w:sz w:val="24"/>
          <w:szCs w:val="24"/>
        </w:rPr>
        <w:t xml:space="preserve">(SDWD) </w:t>
      </w:r>
      <w:r w:rsidRPr="00D73095">
        <w:rPr>
          <w:sz w:val="24"/>
          <w:szCs w:val="24"/>
        </w:rPr>
        <w:t>of the State Bank of Pakistan endeavors to provide quality and timely statistics to users on regular basis. The monthly Statistical Bulletin is one such effort</w:t>
      </w:r>
      <w:r>
        <w:rPr>
          <w:sz w:val="24"/>
          <w:szCs w:val="24"/>
        </w:rPr>
        <w:t>.</w:t>
      </w:r>
    </w:p>
    <w:p w:rsidR="00FB38DF" w:rsidRPr="00D73095" w:rsidRDefault="00FB38DF" w:rsidP="00FB38DF">
      <w:pPr>
        <w:spacing w:line="360" w:lineRule="auto"/>
        <w:jc w:val="both"/>
        <w:rPr>
          <w:sz w:val="24"/>
          <w:szCs w:val="24"/>
        </w:rPr>
      </w:pPr>
    </w:p>
    <w:p w:rsidR="00FB38DF" w:rsidRDefault="00FB38DF" w:rsidP="00FB38DF">
      <w:pPr>
        <w:spacing w:line="360" w:lineRule="auto"/>
        <w:jc w:val="both"/>
        <w:rPr>
          <w:sz w:val="24"/>
          <w:szCs w:val="24"/>
        </w:rPr>
      </w:pPr>
      <w:r w:rsidRPr="00D73095">
        <w:rPr>
          <w:sz w:val="24"/>
          <w:szCs w:val="24"/>
        </w:rPr>
        <w:t xml:space="preserve">The monthly Statistical Bulletin covers a wide range of information </w:t>
      </w:r>
      <w:r>
        <w:rPr>
          <w:sz w:val="24"/>
          <w:szCs w:val="24"/>
        </w:rPr>
        <w:t>most of which is already available on the websites of source organizations; State Bank of Pakistan, Pakistan B</w:t>
      </w:r>
      <w:r w:rsidR="000017C9">
        <w:rPr>
          <w:sz w:val="24"/>
          <w:szCs w:val="24"/>
        </w:rPr>
        <w:t>ureau of Statistics</w:t>
      </w:r>
      <w:r>
        <w:rPr>
          <w:sz w:val="24"/>
          <w:szCs w:val="24"/>
        </w:rPr>
        <w:t xml:space="preserve">. </w:t>
      </w:r>
      <w:r w:rsidRPr="00D73095">
        <w:rPr>
          <w:sz w:val="24"/>
          <w:szCs w:val="24"/>
        </w:rPr>
        <w:t xml:space="preserve">The data included in the Bulletin is acquired from </w:t>
      </w:r>
      <w:r>
        <w:rPr>
          <w:sz w:val="24"/>
          <w:szCs w:val="24"/>
        </w:rPr>
        <w:t>original</w:t>
      </w:r>
      <w:r w:rsidRPr="00D73095">
        <w:rPr>
          <w:sz w:val="24"/>
          <w:szCs w:val="24"/>
        </w:rPr>
        <w:t xml:space="preserve"> sources and efforts are made to ensure</w:t>
      </w:r>
      <w:r w:rsidR="00DF55CB">
        <w:rPr>
          <w:sz w:val="24"/>
          <w:szCs w:val="24"/>
        </w:rPr>
        <w:t xml:space="preserve"> its</w:t>
      </w:r>
      <w:r w:rsidR="00857002">
        <w:rPr>
          <w:sz w:val="24"/>
          <w:szCs w:val="24"/>
        </w:rPr>
        <w:t xml:space="preserve"> continuity and</w:t>
      </w:r>
      <w:r w:rsidRPr="00D73095">
        <w:rPr>
          <w:sz w:val="24"/>
          <w:szCs w:val="24"/>
        </w:rPr>
        <w:t xml:space="preserve"> </w:t>
      </w:r>
      <w:r>
        <w:rPr>
          <w:sz w:val="24"/>
          <w:szCs w:val="24"/>
        </w:rPr>
        <w:t>consistency</w:t>
      </w:r>
      <w:r w:rsidRPr="00D73095">
        <w:rPr>
          <w:sz w:val="24"/>
          <w:szCs w:val="24"/>
        </w:rPr>
        <w:t xml:space="preserve">. Data on </w:t>
      </w:r>
      <w:r>
        <w:rPr>
          <w:sz w:val="24"/>
          <w:szCs w:val="24"/>
        </w:rPr>
        <w:t>different</w:t>
      </w:r>
      <w:r w:rsidRPr="00D73095">
        <w:rPr>
          <w:sz w:val="24"/>
          <w:szCs w:val="24"/>
        </w:rPr>
        <w:t xml:space="preserve"> variables </w:t>
      </w:r>
      <w:r>
        <w:rPr>
          <w:sz w:val="24"/>
          <w:szCs w:val="24"/>
        </w:rPr>
        <w:t>is</w:t>
      </w:r>
      <w:r w:rsidRPr="00D73095">
        <w:rPr>
          <w:sz w:val="24"/>
          <w:szCs w:val="24"/>
        </w:rPr>
        <w:t xml:space="preserve"> provided </w:t>
      </w:r>
      <w:r>
        <w:rPr>
          <w:sz w:val="24"/>
          <w:szCs w:val="24"/>
        </w:rPr>
        <w:t>as per frequency it is being compiled by the source organization</w:t>
      </w:r>
      <w:r w:rsidRPr="00D73095">
        <w:rPr>
          <w:sz w:val="24"/>
          <w:szCs w:val="24"/>
        </w:rPr>
        <w:t xml:space="preserve">. The data is presented in </w:t>
      </w:r>
      <w:r>
        <w:rPr>
          <w:sz w:val="24"/>
          <w:szCs w:val="24"/>
        </w:rPr>
        <w:t xml:space="preserve">a </w:t>
      </w:r>
      <w:r w:rsidRPr="00D73095">
        <w:rPr>
          <w:sz w:val="24"/>
          <w:szCs w:val="24"/>
        </w:rPr>
        <w:t xml:space="preserve">user friendly </w:t>
      </w:r>
      <w:r>
        <w:rPr>
          <w:sz w:val="24"/>
          <w:szCs w:val="24"/>
        </w:rPr>
        <w:t>way</w:t>
      </w:r>
      <w:r w:rsidRPr="00D7309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This publication is </w:t>
      </w:r>
      <w:r w:rsidRPr="00D73095">
        <w:rPr>
          <w:sz w:val="24"/>
          <w:szCs w:val="24"/>
        </w:rPr>
        <w:t>divided in eleven different parts</w:t>
      </w:r>
      <w:r>
        <w:rPr>
          <w:sz w:val="24"/>
          <w:szCs w:val="24"/>
        </w:rPr>
        <w:t xml:space="preserve"> </w:t>
      </w:r>
      <w:r w:rsidRPr="00D73095">
        <w:rPr>
          <w:sz w:val="24"/>
          <w:szCs w:val="24"/>
        </w:rPr>
        <w:t xml:space="preserve">covering </w:t>
      </w:r>
      <w:r>
        <w:rPr>
          <w:sz w:val="24"/>
          <w:szCs w:val="24"/>
        </w:rPr>
        <w:t xml:space="preserve">data on </w:t>
      </w:r>
      <w:r w:rsidRPr="00D73095">
        <w:rPr>
          <w:sz w:val="24"/>
          <w:szCs w:val="24"/>
        </w:rPr>
        <w:t xml:space="preserve">money and credit, banking system, balance of payments, foreign trade, </w:t>
      </w:r>
      <w:r>
        <w:rPr>
          <w:sz w:val="24"/>
          <w:szCs w:val="24"/>
        </w:rPr>
        <w:t>domestic</w:t>
      </w:r>
      <w:r w:rsidRPr="00D73095">
        <w:rPr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 w:rsidRPr="00D73095">
        <w:rPr>
          <w:sz w:val="24"/>
          <w:szCs w:val="24"/>
        </w:rPr>
        <w:t xml:space="preserve"> external debt, open market operations, capital market, </w:t>
      </w:r>
      <w:r>
        <w:rPr>
          <w:sz w:val="24"/>
          <w:szCs w:val="24"/>
        </w:rPr>
        <w:t xml:space="preserve">prices, manufacturing, </w:t>
      </w:r>
      <w:r w:rsidR="00DF55CB">
        <w:rPr>
          <w:sz w:val="24"/>
          <w:szCs w:val="24"/>
        </w:rPr>
        <w:t>P</w:t>
      </w:r>
      <w:r w:rsidRPr="00D73095">
        <w:rPr>
          <w:sz w:val="24"/>
          <w:szCs w:val="24"/>
        </w:rPr>
        <w:t xml:space="preserve">ublic </w:t>
      </w:r>
      <w:r w:rsidR="00DF55CB">
        <w:rPr>
          <w:sz w:val="24"/>
          <w:szCs w:val="24"/>
        </w:rPr>
        <w:t>F</w:t>
      </w:r>
      <w:r w:rsidRPr="00D73095">
        <w:rPr>
          <w:sz w:val="24"/>
          <w:szCs w:val="24"/>
        </w:rPr>
        <w:t xml:space="preserve">inance and </w:t>
      </w:r>
      <w:r w:rsidR="00DF55CB">
        <w:rPr>
          <w:sz w:val="24"/>
          <w:szCs w:val="24"/>
        </w:rPr>
        <w:t>n</w:t>
      </w:r>
      <w:r>
        <w:rPr>
          <w:sz w:val="24"/>
          <w:szCs w:val="24"/>
        </w:rPr>
        <w:t xml:space="preserve">ational </w:t>
      </w:r>
      <w:r w:rsidR="00DF55CB">
        <w:rPr>
          <w:sz w:val="24"/>
          <w:szCs w:val="24"/>
        </w:rPr>
        <w:t>i</w:t>
      </w:r>
      <w:r>
        <w:rPr>
          <w:sz w:val="24"/>
          <w:szCs w:val="24"/>
        </w:rPr>
        <w:t xml:space="preserve">ncome </w:t>
      </w:r>
      <w:r w:rsidR="00DF55CB">
        <w:rPr>
          <w:sz w:val="24"/>
          <w:szCs w:val="24"/>
        </w:rPr>
        <w:t>a</w:t>
      </w:r>
      <w:r>
        <w:rPr>
          <w:sz w:val="24"/>
          <w:szCs w:val="24"/>
        </w:rPr>
        <w:t>ccounts</w:t>
      </w:r>
      <w:r w:rsidRPr="00D73095">
        <w:rPr>
          <w:sz w:val="24"/>
          <w:szCs w:val="24"/>
        </w:rPr>
        <w:t>. The publicat</w:t>
      </w:r>
      <w:r>
        <w:rPr>
          <w:sz w:val="24"/>
          <w:szCs w:val="24"/>
        </w:rPr>
        <w:t>ion is available both in print</w:t>
      </w:r>
      <w:r w:rsidRPr="00D73095">
        <w:rPr>
          <w:sz w:val="24"/>
          <w:szCs w:val="24"/>
        </w:rPr>
        <w:t xml:space="preserve"> as well as in electronic form</w:t>
      </w:r>
      <w:r>
        <w:rPr>
          <w:sz w:val="24"/>
          <w:szCs w:val="24"/>
        </w:rPr>
        <w:t xml:space="preserve"> (</w:t>
      </w:r>
      <w:hyperlink r:id="rId7" w:history="1">
        <w:r w:rsidRPr="00042CCB">
          <w:rPr>
            <w:rStyle w:val="Hyperlink"/>
            <w:sz w:val="24"/>
            <w:szCs w:val="24"/>
          </w:rPr>
          <w:t>http://www.sbp.org.pk/reports/stat_reviews/Bulletin/index.htm</w:t>
        </w:r>
      </w:hyperlink>
      <w:r>
        <w:rPr>
          <w:sz w:val="24"/>
          <w:szCs w:val="24"/>
        </w:rPr>
        <w:t>)</w:t>
      </w:r>
      <w:r w:rsidRPr="00D73095">
        <w:rPr>
          <w:sz w:val="24"/>
          <w:szCs w:val="24"/>
        </w:rPr>
        <w:t xml:space="preserve">. </w:t>
      </w:r>
    </w:p>
    <w:p w:rsidR="00FB38DF" w:rsidRDefault="00FB38DF" w:rsidP="00FB38DF">
      <w:pPr>
        <w:spacing w:line="360" w:lineRule="auto"/>
        <w:jc w:val="both"/>
        <w:rPr>
          <w:sz w:val="24"/>
          <w:szCs w:val="24"/>
        </w:rPr>
      </w:pPr>
    </w:p>
    <w:p w:rsidR="00FB38DF" w:rsidRPr="00D00E45" w:rsidRDefault="00C0271F" w:rsidP="00DF55C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FB38DF" w:rsidRPr="00D00E45">
        <w:rPr>
          <w:sz w:val="24"/>
          <w:szCs w:val="24"/>
        </w:rPr>
        <w:t xml:space="preserve"> appreciate the efforts of the team for compiling this valuable publication. Comments and suggestions for further improvement in the publication are welcome</w:t>
      </w:r>
      <w:r w:rsidR="002B7675">
        <w:rPr>
          <w:sz w:val="24"/>
          <w:szCs w:val="24"/>
        </w:rPr>
        <w:t>.</w:t>
      </w:r>
      <w:r w:rsidR="00FB38DF">
        <w:rPr>
          <w:sz w:val="24"/>
          <w:szCs w:val="24"/>
        </w:rPr>
        <w:t xml:space="preserve"> </w:t>
      </w:r>
      <w:r w:rsidR="00FB38DF" w:rsidRPr="00D00E45">
        <w:rPr>
          <w:sz w:val="24"/>
          <w:szCs w:val="24"/>
        </w:rPr>
        <w:t>(</w:t>
      </w:r>
      <w:hyperlink r:id="rId8" w:history="1">
        <w:r w:rsidR="00FB38DF" w:rsidRPr="00D00E45">
          <w:rPr>
            <w:rStyle w:val="Hyperlink"/>
            <w:sz w:val="24"/>
            <w:szCs w:val="24"/>
          </w:rPr>
          <w:t>feedback.statistics@sbp.org.pk</w:t>
        </w:r>
      </w:hyperlink>
      <w:r w:rsidR="00FB38DF" w:rsidRPr="00D00E45">
        <w:rPr>
          <w:sz w:val="24"/>
          <w:szCs w:val="24"/>
        </w:rPr>
        <w:t xml:space="preserve">) </w:t>
      </w:r>
    </w:p>
    <w:p w:rsidR="00FB38DF" w:rsidRPr="00D73095" w:rsidRDefault="00FB38DF" w:rsidP="00FB38DF">
      <w:pPr>
        <w:pStyle w:val="NoSpacing"/>
        <w:rPr>
          <w:rFonts w:ascii="Times New Roman" w:hAnsi="Times New Roman"/>
        </w:rPr>
      </w:pPr>
    </w:p>
    <w:p w:rsidR="00FB38DF" w:rsidRPr="00D73095" w:rsidRDefault="00FB38DF" w:rsidP="00FB38DF">
      <w:pPr>
        <w:pStyle w:val="NoSpacing"/>
        <w:rPr>
          <w:rFonts w:ascii="Times New Roman" w:hAnsi="Times New Roman"/>
        </w:rPr>
      </w:pPr>
    </w:p>
    <w:p w:rsidR="00FB38DF" w:rsidRPr="00D73095" w:rsidRDefault="00FB38DF" w:rsidP="00FB38D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Mazhar Hussain </w:t>
      </w:r>
    </w:p>
    <w:p w:rsidR="00755E04" w:rsidRPr="00FB38DF" w:rsidRDefault="00FB38DF" w:rsidP="00FB38D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Senior Joint </w:t>
      </w:r>
      <w:r w:rsidRPr="00D73095">
        <w:rPr>
          <w:rFonts w:ascii="Times New Roman" w:hAnsi="Times New Roman"/>
        </w:rPr>
        <w:t>Director</w:t>
      </w:r>
      <w:r>
        <w:rPr>
          <w:rFonts w:ascii="Times New Roman" w:hAnsi="Times New Roman"/>
        </w:rPr>
        <w:t>, SDWD</w:t>
      </w:r>
    </w:p>
    <w:p w:rsidR="00724A87" w:rsidRPr="00D73095" w:rsidRDefault="00724A87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24A87" w:rsidRDefault="00724A87">
      <w:r w:rsidRPr="00D73095">
        <w:br w:type="page"/>
      </w:r>
    </w:p>
    <w:p w:rsidR="00F35D57" w:rsidRDefault="00F35D57"/>
    <w:p w:rsidR="00F35D57" w:rsidRPr="00D73095" w:rsidRDefault="00F35D57"/>
    <w:tbl>
      <w:tblPr>
        <w:tblW w:w="9020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21"/>
        <w:gridCol w:w="529"/>
        <w:gridCol w:w="7470"/>
        <w:gridCol w:w="730"/>
      </w:tblGrid>
      <w:tr w:rsidR="00084C10" w:rsidRPr="00D73095" w:rsidTr="00696865">
        <w:trPr>
          <w:trHeight w:val="396"/>
          <w:jc w:val="center"/>
        </w:trPr>
        <w:tc>
          <w:tcPr>
            <w:tcW w:w="9020" w:type="dxa"/>
            <w:gridSpan w:val="5"/>
            <w:tcBorders>
              <w:top w:val="nil"/>
              <w:left w:val="nil"/>
              <w:bottom w:val="triple" w:sz="4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84C10" w:rsidRPr="00D62BB8" w:rsidRDefault="00084C10" w:rsidP="00084C10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62BB8">
              <w:rPr>
                <w:rFonts w:asciiTheme="majorBidi" w:hAnsiTheme="majorBidi" w:cstheme="majorBidi"/>
                <w:b/>
                <w:i/>
                <w:shadow/>
                <w:sz w:val="36"/>
                <w:szCs w:val="36"/>
              </w:rPr>
              <w:t>Contents</w:t>
            </w:r>
          </w:p>
        </w:tc>
      </w:tr>
      <w:tr w:rsidR="00084C10" w:rsidRPr="00D73095" w:rsidTr="00AB267A">
        <w:trPr>
          <w:trHeight w:val="230"/>
          <w:jc w:val="center"/>
        </w:trPr>
        <w:tc>
          <w:tcPr>
            <w:tcW w:w="8290" w:type="dxa"/>
            <w:gridSpan w:val="4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084C10" w:rsidRPr="00D73095" w:rsidRDefault="00084C10" w:rsidP="00084C10">
            <w:pPr>
              <w:rPr>
                <w:b/>
                <w:bCs/>
              </w:rPr>
            </w:pPr>
            <w:r w:rsidRPr="00D73095">
              <w:rPr>
                <w:b/>
                <w:bCs/>
              </w:rPr>
              <w:t>1. Selected Economic Indicators</w:t>
            </w:r>
          </w:p>
        </w:tc>
        <w:tc>
          <w:tcPr>
            <w:tcW w:w="730" w:type="dxa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84C10" w:rsidRPr="00D73095" w:rsidRDefault="00084C10" w:rsidP="002D4E78">
            <w:pPr>
              <w:jc w:val="right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6-7</w:t>
            </w:r>
          </w:p>
        </w:tc>
      </w:tr>
      <w:tr w:rsidR="00084C10" w:rsidRPr="00D73095" w:rsidTr="00AB267A">
        <w:trPr>
          <w:trHeight w:val="230"/>
          <w:jc w:val="center"/>
        </w:trPr>
        <w:tc>
          <w:tcPr>
            <w:tcW w:w="8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084C10" w:rsidRPr="00D73095" w:rsidRDefault="00084C10" w:rsidP="00084C10">
            <w:pPr>
              <w:rPr>
                <w:b/>
                <w:bCs/>
              </w:rPr>
            </w:pPr>
            <w:r w:rsidRPr="00D73095">
              <w:rPr>
                <w:b/>
                <w:bCs/>
              </w:rPr>
              <w:t>2. Money and Credit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84C10" w:rsidRPr="00D73095" w:rsidRDefault="00084C10" w:rsidP="002D4E78">
            <w:pPr>
              <w:jc w:val="right"/>
              <w:rPr>
                <w:sz w:val="18"/>
                <w:szCs w:val="18"/>
              </w:rPr>
            </w:pP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Central Bank Survey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10-11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Other Depository Corporations Survey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D73095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3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Depository </w:t>
            </w:r>
            <w:r w:rsidRPr="006F5464">
              <w:rPr>
                <w:sz w:val="18"/>
                <w:szCs w:val="18"/>
              </w:rPr>
              <w:t>Corporations</w:t>
            </w:r>
            <w:r w:rsidRPr="00D73095">
              <w:rPr>
                <w:sz w:val="18"/>
                <w:szCs w:val="18"/>
              </w:rPr>
              <w:t xml:space="preserve"> Survey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435ED2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2.4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437536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Reserve Money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2D4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F5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Currency in Circulation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Monetary Aggregates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5B5C4F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Government Budgetary Borrowing from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5B5C4F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466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Government Borrowing for Commodity Operations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2C6B76" w:rsidP="0005246F">
            <w:pPr>
              <w:rPr>
                <w:sz w:val="18"/>
                <w:szCs w:val="18"/>
              </w:rPr>
            </w:pPr>
            <w:r w:rsidRPr="002C6B76">
              <w:rPr>
                <w:sz w:val="18"/>
                <w:szCs w:val="18"/>
              </w:rPr>
              <w:t>Statement of Affairs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2C6B76">
              <w:rPr>
                <w:sz w:val="18"/>
                <w:szCs w:val="18"/>
              </w:rPr>
              <w:t>-19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2C6B76">
              <w:rPr>
                <w:sz w:val="18"/>
                <w:szCs w:val="18"/>
              </w:rPr>
              <w:t>0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8B5F52" w:rsidRDefault="00466E83" w:rsidP="0005246F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Scheduled Banks’ </w:t>
            </w:r>
            <w:r w:rsidR="00E74D58">
              <w:rPr>
                <w:sz w:val="18"/>
                <w:szCs w:val="18"/>
              </w:rPr>
              <w:t xml:space="preserve">Balance Sheet </w:t>
            </w:r>
            <w:r w:rsidRPr="008B5F52">
              <w:rPr>
                <w:sz w:val="18"/>
                <w:szCs w:val="18"/>
              </w:rPr>
              <w:t>Consolidated  Position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2C6B76">
              <w:rPr>
                <w:sz w:val="18"/>
                <w:szCs w:val="18"/>
              </w:rPr>
              <w:t>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8B5F52" w:rsidRDefault="00466E83" w:rsidP="0005246F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Scheduled Banks’ </w:t>
            </w:r>
            <w:r w:rsidR="00E74D58" w:rsidRPr="00E74D58">
              <w:rPr>
                <w:sz w:val="18"/>
                <w:szCs w:val="18"/>
              </w:rPr>
              <w:t xml:space="preserve">Consolidated </w:t>
            </w:r>
            <w:r w:rsidRPr="008B5F52">
              <w:rPr>
                <w:sz w:val="18"/>
                <w:szCs w:val="18"/>
              </w:rPr>
              <w:t>Liquidity Position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7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466E83" w:rsidRDefault="00466E83" w:rsidP="00A7111A">
            <w:pPr>
              <w:rPr>
                <w:b/>
                <w:bCs/>
                <w:sz w:val="18"/>
                <w:szCs w:val="18"/>
              </w:rPr>
            </w:pPr>
            <w:r w:rsidRPr="00466E83">
              <w:rPr>
                <w:b/>
                <w:bCs/>
                <w:sz w:val="18"/>
                <w:szCs w:val="18"/>
              </w:rPr>
              <w:t>DFIs, MFBs</w:t>
            </w:r>
            <w:r w:rsidR="001D70D7" w:rsidRPr="00466E83">
              <w:rPr>
                <w:b/>
                <w:bCs/>
                <w:sz w:val="18"/>
                <w:szCs w:val="18"/>
              </w:rPr>
              <w:t xml:space="preserve"> </w:t>
            </w:r>
            <w:r w:rsidR="00A7111A">
              <w:rPr>
                <w:b/>
                <w:bCs/>
                <w:sz w:val="18"/>
                <w:szCs w:val="18"/>
              </w:rPr>
              <w:t>and</w:t>
            </w:r>
            <w:r w:rsidR="001D70D7" w:rsidRPr="00466E83">
              <w:rPr>
                <w:b/>
                <w:bCs/>
                <w:sz w:val="18"/>
                <w:szCs w:val="18"/>
              </w:rPr>
              <w:t xml:space="preserve"> 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Default="00466E83" w:rsidP="0005246F">
            <w:pPr>
              <w:jc w:val="right"/>
              <w:rPr>
                <w:sz w:val="18"/>
                <w:szCs w:val="18"/>
              </w:rPr>
            </w:pP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2.1</w:t>
            </w:r>
            <w:r w:rsidR="00DC0103">
              <w:rPr>
                <w:sz w:val="18"/>
                <w:szCs w:val="18"/>
              </w:rPr>
              <w:t>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Financial Position </w:t>
            </w:r>
            <w:r>
              <w:rPr>
                <w:sz w:val="18"/>
                <w:szCs w:val="18"/>
              </w:rPr>
              <w:t xml:space="preserve">of </w:t>
            </w:r>
            <w:r w:rsidRPr="00D73095">
              <w:rPr>
                <w:sz w:val="18"/>
                <w:szCs w:val="18"/>
              </w:rPr>
              <w:t>DFIs, 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 xml:space="preserve">and </w:t>
            </w:r>
            <w:r w:rsidR="00E23855" w:rsidRPr="00D73095">
              <w:rPr>
                <w:sz w:val="18"/>
                <w:szCs w:val="18"/>
              </w:rPr>
              <w:t>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DC0103">
              <w:rPr>
                <w:sz w:val="18"/>
                <w:szCs w:val="18"/>
              </w:rPr>
              <w:t>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Classification of Deposits with </w:t>
            </w:r>
            <w:r w:rsidR="00E23855" w:rsidRPr="00D73095">
              <w:rPr>
                <w:sz w:val="18"/>
                <w:szCs w:val="18"/>
              </w:rPr>
              <w:t>DFIs, 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>and</w:t>
            </w:r>
            <w:r w:rsidR="00E23855" w:rsidRPr="00D73095">
              <w:rPr>
                <w:sz w:val="18"/>
                <w:szCs w:val="18"/>
              </w:rPr>
              <w:t xml:space="preserve"> 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DC0103">
              <w:rPr>
                <w:sz w:val="18"/>
                <w:szCs w:val="18"/>
              </w:rPr>
              <w:t>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Classificat</w:t>
            </w:r>
            <w:r>
              <w:rPr>
                <w:sz w:val="18"/>
                <w:szCs w:val="18"/>
              </w:rPr>
              <w:t>ion of Loans Extended by</w:t>
            </w:r>
            <w:r w:rsidRPr="00D73095">
              <w:rPr>
                <w:sz w:val="18"/>
                <w:szCs w:val="18"/>
              </w:rPr>
              <w:t xml:space="preserve"> </w:t>
            </w:r>
            <w:r w:rsidR="00E23855" w:rsidRPr="00D73095">
              <w:rPr>
                <w:sz w:val="18"/>
                <w:szCs w:val="18"/>
              </w:rPr>
              <w:t>DFI</w:t>
            </w:r>
            <w:r w:rsidR="00E23855">
              <w:rPr>
                <w:sz w:val="18"/>
                <w:szCs w:val="18"/>
              </w:rPr>
              <w:t xml:space="preserve">s, </w:t>
            </w:r>
            <w:r w:rsidR="00E23855" w:rsidRPr="00D73095">
              <w:rPr>
                <w:sz w:val="18"/>
                <w:szCs w:val="18"/>
              </w:rPr>
              <w:t>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>and</w:t>
            </w:r>
            <w:r w:rsidR="00E23855" w:rsidRPr="00D73095">
              <w:rPr>
                <w:sz w:val="18"/>
                <w:szCs w:val="18"/>
              </w:rPr>
              <w:t xml:space="preserve"> 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DC0103">
              <w:rPr>
                <w:sz w:val="18"/>
                <w:szCs w:val="18"/>
              </w:rPr>
              <w:t>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Classification of Investments in Securities and Shares</w:t>
            </w:r>
            <w:r>
              <w:rPr>
                <w:sz w:val="18"/>
                <w:szCs w:val="18"/>
              </w:rPr>
              <w:t xml:space="preserve"> by </w:t>
            </w:r>
            <w:r w:rsidR="00E23855" w:rsidRPr="00D73095">
              <w:rPr>
                <w:sz w:val="18"/>
                <w:szCs w:val="18"/>
              </w:rPr>
              <w:t>DFIs, 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>and</w:t>
            </w:r>
            <w:r w:rsidR="00E23855">
              <w:rPr>
                <w:sz w:val="18"/>
                <w:szCs w:val="18"/>
              </w:rPr>
              <w:t xml:space="preserve"> </w:t>
            </w:r>
            <w:r w:rsidR="00E23855" w:rsidRPr="00D73095">
              <w:rPr>
                <w:sz w:val="18"/>
                <w:szCs w:val="18"/>
              </w:rPr>
              <w:t xml:space="preserve">NBFCs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8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437536">
            <w:pPr>
              <w:rPr>
                <w:b/>
                <w:bCs/>
                <w:sz w:val="24"/>
                <w:szCs w:val="24"/>
              </w:rPr>
            </w:pPr>
            <w:r w:rsidRPr="00D73095">
              <w:rPr>
                <w:b/>
                <w:bCs/>
                <w:sz w:val="24"/>
                <w:szCs w:val="24"/>
              </w:rPr>
              <w:t xml:space="preserve"> </w:t>
            </w:r>
            <w:r w:rsidRPr="00D73095">
              <w:rPr>
                <w:b/>
                <w:bCs/>
              </w:rPr>
              <w:t>3. Banking System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435ED2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266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Scheduled Banks’ </w:t>
            </w:r>
            <w:r w:rsidRPr="00D73095">
              <w:rPr>
                <w:sz w:val="18"/>
                <w:szCs w:val="18"/>
              </w:rPr>
              <w:t>Liabilities and Assets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FD0CCA" w:rsidP="00FD0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Deposits</w:t>
            </w:r>
            <w:r w:rsidRPr="00D73095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A49E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 xml:space="preserve">Classification of </w:t>
            </w:r>
            <w:r>
              <w:rPr>
                <w:sz w:val="18"/>
                <w:szCs w:val="18"/>
              </w:rPr>
              <w:t xml:space="preserve">Scheduled Banks' </w:t>
            </w:r>
            <w:r w:rsidRPr="00975A72">
              <w:rPr>
                <w:sz w:val="18"/>
                <w:szCs w:val="18"/>
              </w:rPr>
              <w:t>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Type of Accounts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FD0CCA" w:rsidP="00CD5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A49E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 xml:space="preserve">Classification of </w:t>
            </w:r>
            <w:r>
              <w:rPr>
                <w:sz w:val="18"/>
                <w:szCs w:val="18"/>
              </w:rPr>
              <w:t xml:space="preserve">Scheduled Banks' </w:t>
            </w:r>
            <w:r w:rsidRPr="00975A72">
              <w:rPr>
                <w:sz w:val="18"/>
                <w:szCs w:val="18"/>
              </w:rPr>
              <w:t>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Category of Deposit Holders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FD0CCA" w:rsidP="00CD5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28-29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A49E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>Classification of Scheduled Banks' 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Category of Deposit Holders and Size of Accounts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FD0CCA" w:rsidP="00CD5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30-3</w:t>
            </w:r>
            <w:r w:rsidR="00466E83" w:rsidRPr="00D73095">
              <w:rPr>
                <w:sz w:val="18"/>
                <w:szCs w:val="18"/>
              </w:rPr>
              <w:t>1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047E49" w:rsidP="005A4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66E83" w:rsidRPr="00D73095" w:rsidRDefault="00466E83" w:rsidP="00975A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>Categories</w:t>
            </w:r>
            <w:r>
              <w:rPr>
                <w:sz w:val="18"/>
                <w:szCs w:val="18"/>
              </w:rPr>
              <w:t xml:space="preserve"> of Deposit Holders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047E49" w:rsidP="00CD5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="00FD0CCA"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3</w:t>
            </w:r>
          </w:p>
        </w:tc>
      </w:tr>
      <w:tr w:rsidR="00047E49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47E49" w:rsidRPr="00D73095" w:rsidRDefault="00047E49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47E49" w:rsidRPr="00D73095" w:rsidRDefault="00047E49" w:rsidP="006F51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7E49" w:rsidRPr="00D73095" w:rsidRDefault="00047E49" w:rsidP="006F512B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 xml:space="preserve">Classification of </w:t>
            </w:r>
            <w:r>
              <w:rPr>
                <w:sz w:val="18"/>
                <w:szCs w:val="18"/>
              </w:rPr>
              <w:t xml:space="preserve">Scheduled Banks' </w:t>
            </w:r>
            <w:r w:rsidRPr="00975A72">
              <w:rPr>
                <w:sz w:val="18"/>
                <w:szCs w:val="18"/>
              </w:rPr>
              <w:t>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Size of Accounts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7E49" w:rsidRPr="00D73095" w:rsidRDefault="00047E49" w:rsidP="006F5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</w:tr>
      <w:tr w:rsidR="00047E49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47E49" w:rsidRPr="00D73095" w:rsidRDefault="00047E49" w:rsidP="00084C10">
            <w:pPr>
              <w:rPr>
                <w:sz w:val="22"/>
                <w:szCs w:val="22"/>
              </w:rPr>
            </w:pPr>
          </w:p>
        </w:tc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47E49" w:rsidRPr="00D73095" w:rsidRDefault="00047E49" w:rsidP="007F50E6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Advances: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7E49" w:rsidRPr="00D73095" w:rsidRDefault="00047E49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AA2F2D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AA2F2D" w:rsidRPr="00D73095" w:rsidRDefault="00AA2F2D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2F2D" w:rsidRPr="00D73095" w:rsidRDefault="00AA2F2D" w:rsidP="00AA2F2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2F2D" w:rsidRPr="00D73095" w:rsidRDefault="0071506E" w:rsidP="006F512B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Size of Accounts - All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2F2D" w:rsidRPr="00D73095" w:rsidRDefault="00AA2F2D" w:rsidP="006F5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7F50E6" w:rsidRDefault="0071506E" w:rsidP="006F512B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="00581AFC">
              <w:rPr>
                <w:sz w:val="18"/>
                <w:szCs w:val="18"/>
              </w:rPr>
              <w:t xml:space="preserve">Size of Accounts </w:t>
            </w:r>
            <w:r w:rsidRPr="00D73095">
              <w:rPr>
                <w:sz w:val="18"/>
                <w:szCs w:val="18"/>
              </w:rPr>
              <w:t>- Commercial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71506E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by Size of Accounts and Borrowers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6F512B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</w:t>
            </w:r>
            <w:r>
              <w:rPr>
                <w:sz w:val="18"/>
                <w:szCs w:val="18"/>
              </w:rPr>
              <w:t xml:space="preserve"> </w:t>
            </w:r>
            <w:r w:rsidRPr="007F50E6">
              <w:rPr>
                <w:sz w:val="18"/>
                <w:szCs w:val="18"/>
              </w:rPr>
              <w:t>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Borrowers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- All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38-39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51376A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Securities Pledged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40-41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51376A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Rates of  Margin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3.13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Private Sector Business</w:t>
            </w:r>
            <w:r>
              <w:rPr>
                <w:sz w:val="18"/>
                <w:szCs w:val="18"/>
              </w:rPr>
              <w:t xml:space="preserve"> and Type of Financing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Overall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="00604662">
              <w:rPr>
                <w:sz w:val="18"/>
                <w:szCs w:val="18"/>
              </w:rPr>
              <w:t>-44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3.14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DB7FC2" w:rsidP="0051376A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Private Sector Business</w:t>
            </w:r>
            <w:r>
              <w:rPr>
                <w:sz w:val="18"/>
                <w:szCs w:val="18"/>
              </w:rPr>
              <w:t xml:space="preserve"> and Type of Financing </w:t>
            </w:r>
            <w:r w:rsidRPr="00D73095">
              <w:rPr>
                <w:sz w:val="18"/>
                <w:szCs w:val="18"/>
              </w:rPr>
              <w:t xml:space="preserve">- </w:t>
            </w:r>
            <w:r w:rsidR="0071506E" w:rsidRPr="00D73095">
              <w:rPr>
                <w:sz w:val="18"/>
                <w:szCs w:val="18"/>
              </w:rPr>
              <w:t>SMEs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604662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45-</w:t>
            </w:r>
            <w:r w:rsidR="0071506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Province/Region </w:t>
            </w:r>
            <w:r>
              <w:rPr>
                <w:sz w:val="18"/>
                <w:szCs w:val="18"/>
              </w:rPr>
              <w:t>and</w:t>
            </w:r>
            <w:r w:rsidRPr="00D73095">
              <w:rPr>
                <w:sz w:val="18"/>
                <w:szCs w:val="18"/>
              </w:rPr>
              <w:t xml:space="preserve"> Disbursement </w:t>
            </w:r>
            <w:r w:rsidR="00E74D58">
              <w:rPr>
                <w:sz w:val="18"/>
                <w:szCs w:val="18"/>
              </w:rPr>
              <w:t>and</w:t>
            </w:r>
            <w:r w:rsidRPr="00D73095">
              <w:rPr>
                <w:sz w:val="18"/>
                <w:szCs w:val="18"/>
              </w:rPr>
              <w:t xml:space="preserve"> Utilization of Advances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E74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 xml:space="preserve">place of Disbursement </w:t>
            </w:r>
            <w:r w:rsidR="00E74D58">
              <w:rPr>
                <w:sz w:val="18"/>
                <w:szCs w:val="18"/>
              </w:rPr>
              <w:t>and</w:t>
            </w:r>
            <w:r w:rsidRPr="00D73095">
              <w:rPr>
                <w:sz w:val="18"/>
                <w:szCs w:val="18"/>
              </w:rPr>
              <w:t xml:space="preserve"> Utilization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2D1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3.17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E74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 xml:space="preserve">place of Utilization </w:t>
            </w:r>
            <w:r w:rsidR="00E74D58">
              <w:rPr>
                <w:sz w:val="18"/>
                <w:szCs w:val="18"/>
              </w:rPr>
              <w:t>and</w:t>
            </w:r>
            <w:r w:rsidRPr="00D73095">
              <w:rPr>
                <w:sz w:val="18"/>
                <w:szCs w:val="18"/>
              </w:rPr>
              <w:t xml:space="preserve"> Disbursement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3.18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5137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>Categories</w:t>
            </w:r>
            <w:r>
              <w:rPr>
                <w:sz w:val="18"/>
                <w:szCs w:val="18"/>
              </w:rPr>
              <w:t xml:space="preserve"> of </w:t>
            </w:r>
            <w:r w:rsidRPr="00D73095">
              <w:rPr>
                <w:sz w:val="18"/>
                <w:szCs w:val="18"/>
              </w:rPr>
              <w:t xml:space="preserve">Advances by Borrowers </w:t>
            </w:r>
            <w:r>
              <w:rPr>
                <w:sz w:val="18"/>
                <w:szCs w:val="18"/>
              </w:rPr>
              <w:t>(Outstanding</w:t>
            </w:r>
            <w:r w:rsidR="005B20E3">
              <w:rPr>
                <w:sz w:val="18"/>
                <w:szCs w:val="18"/>
              </w:rPr>
              <w:t xml:space="preserve"> Position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604662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71506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51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3.19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E74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>Categories</w:t>
            </w:r>
            <w:r>
              <w:rPr>
                <w:sz w:val="18"/>
                <w:szCs w:val="18"/>
              </w:rPr>
              <w:t xml:space="preserve"> of</w:t>
            </w:r>
            <w:r w:rsidRPr="00D73095">
              <w:rPr>
                <w:sz w:val="18"/>
                <w:szCs w:val="18"/>
              </w:rPr>
              <w:t xml:space="preserve"> Loans for Agriculture </w:t>
            </w:r>
            <w:r>
              <w:rPr>
                <w:sz w:val="18"/>
                <w:szCs w:val="18"/>
              </w:rPr>
              <w:t>(Disbursement</w:t>
            </w:r>
            <w:r w:rsidR="005B20E3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>and</w:t>
            </w:r>
            <w:r>
              <w:rPr>
                <w:sz w:val="18"/>
                <w:szCs w:val="18"/>
              </w:rPr>
              <w:t xml:space="preserve"> Outstanding)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604662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="0071506E">
              <w:rPr>
                <w:sz w:val="18"/>
                <w:szCs w:val="18"/>
              </w:rPr>
              <w:t>-5</w:t>
            </w:r>
            <w:r>
              <w:rPr>
                <w:sz w:val="18"/>
                <w:szCs w:val="18"/>
              </w:rPr>
              <w:t>3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7F742D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Bills and Investment: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6F512B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6F51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6F512B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Classification of </w:t>
            </w: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Bills Purchased and Discounted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="00AB267A">
              <w:rPr>
                <w:sz w:val="18"/>
                <w:szCs w:val="18"/>
              </w:rPr>
              <w:t>All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FD5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7F742D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Classification of </w:t>
            </w: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Investment</w:t>
            </w:r>
            <w:r w:rsidR="005B20E3">
              <w:rPr>
                <w:sz w:val="18"/>
                <w:szCs w:val="18"/>
              </w:rPr>
              <w:t>s</w:t>
            </w:r>
            <w:r w:rsidRPr="00D73095">
              <w:rPr>
                <w:sz w:val="18"/>
                <w:szCs w:val="18"/>
              </w:rPr>
              <w:t xml:space="preserve"> in Securities and Shares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FD5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5</w:t>
            </w:r>
          </w:p>
        </w:tc>
      </w:tr>
    </w:tbl>
    <w:p w:rsidR="007E7406" w:rsidRDefault="007E7406" w:rsidP="004E45C8">
      <w:pPr>
        <w:rPr>
          <w:sz w:val="16"/>
          <w:szCs w:val="16"/>
        </w:rPr>
      </w:pPr>
    </w:p>
    <w:p w:rsidR="00CC7277" w:rsidRDefault="00CC7277" w:rsidP="004E45C8">
      <w:pPr>
        <w:rPr>
          <w:sz w:val="16"/>
          <w:szCs w:val="16"/>
        </w:rPr>
      </w:pPr>
    </w:p>
    <w:p w:rsidR="00CC7277" w:rsidRDefault="00CC7277" w:rsidP="004E45C8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-19"/>
        <w:tblW w:w="9238" w:type="dxa"/>
        <w:tblLayout w:type="fixed"/>
        <w:tblLook w:val="04A0" w:firstRow="1" w:lastRow="0" w:firstColumn="1" w:lastColumn="0" w:noHBand="0" w:noVBand="1"/>
      </w:tblPr>
      <w:tblGrid>
        <w:gridCol w:w="295"/>
        <w:gridCol w:w="552"/>
        <w:gridCol w:w="7663"/>
        <w:gridCol w:w="728"/>
      </w:tblGrid>
      <w:tr w:rsidR="00F82E1E" w:rsidRPr="008B5F52" w:rsidTr="00211365">
        <w:trPr>
          <w:trHeight w:hRule="exact" w:val="190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82E1E" w:rsidRPr="008B5F52" w:rsidRDefault="00F82E1E" w:rsidP="0021136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3" w:type="dxa"/>
            <w:gridSpan w:val="3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2E1E" w:rsidRPr="008B5F52" w:rsidRDefault="00FB29B3" w:rsidP="0021136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Rates</w:t>
            </w:r>
            <w:r w:rsidR="00F82E1E" w:rsidRPr="008B5F52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FB29B3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22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Deposits by Rates of  Interest</w:t>
            </w:r>
            <w:r w:rsidR="00FD562C">
              <w:rPr>
                <w:sz w:val="18"/>
                <w:szCs w:val="18"/>
              </w:rPr>
              <w:t xml:space="preserve"> </w:t>
            </w:r>
            <w:r w:rsidR="00FD562C" w:rsidRPr="00FD562C">
              <w:rPr>
                <w:sz w:val="18"/>
                <w:szCs w:val="18"/>
              </w:rPr>
              <w:t>(Conventional Banking)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FB29B3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</w:t>
            </w:r>
            <w:r w:rsidR="001562BB">
              <w:rPr>
                <w:sz w:val="18"/>
                <w:szCs w:val="18"/>
              </w:rPr>
              <w:t>.</w:t>
            </w:r>
            <w:r w:rsidR="006A7F17">
              <w:rPr>
                <w:sz w:val="18"/>
                <w:szCs w:val="18"/>
              </w:rPr>
              <w:t>23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 xml:space="preserve">Deposits by Rates of Return </w:t>
            </w:r>
            <w:r w:rsidR="00FD562C" w:rsidRPr="00FD562C">
              <w:rPr>
                <w:sz w:val="18"/>
                <w:szCs w:val="18"/>
              </w:rPr>
              <w:t>(Islamic Banking)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FB29B3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1562BB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24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Advances by Rates of Interest</w:t>
            </w:r>
            <w:r w:rsidR="000D35A7">
              <w:rPr>
                <w:sz w:val="18"/>
                <w:szCs w:val="18"/>
              </w:rPr>
              <w:t xml:space="preserve"> </w:t>
            </w:r>
            <w:r w:rsidR="000D35A7" w:rsidRPr="00FD562C">
              <w:rPr>
                <w:sz w:val="18"/>
                <w:szCs w:val="18"/>
              </w:rPr>
              <w:t>(Conventional Banking)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FB29B3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1562BB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25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="008105A4">
              <w:rPr>
                <w:sz w:val="18"/>
                <w:szCs w:val="18"/>
              </w:rPr>
              <w:t>Advances</w:t>
            </w:r>
            <w:r w:rsidRPr="00D73095">
              <w:rPr>
                <w:sz w:val="18"/>
                <w:szCs w:val="18"/>
              </w:rPr>
              <w:t xml:space="preserve"> by Rates of Return</w:t>
            </w:r>
            <w:r w:rsidR="000D35A7">
              <w:rPr>
                <w:sz w:val="18"/>
                <w:szCs w:val="18"/>
              </w:rPr>
              <w:t xml:space="preserve"> </w:t>
            </w:r>
            <w:r w:rsidR="000D35A7" w:rsidRPr="00FD562C">
              <w:rPr>
                <w:sz w:val="18"/>
                <w:szCs w:val="18"/>
              </w:rPr>
              <w:t>(Islamic Banking)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FB29B3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1562BB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26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Weighted Aver</w:t>
            </w:r>
            <w:r w:rsidR="000D35A7">
              <w:rPr>
                <w:sz w:val="18"/>
                <w:szCs w:val="18"/>
              </w:rPr>
              <w:t>age Rates of Return on Deposits</w:t>
            </w:r>
            <w:r w:rsidR="000D35A7" w:rsidRPr="000D35A7">
              <w:rPr>
                <w:sz w:val="18"/>
                <w:szCs w:val="18"/>
              </w:rPr>
              <w:t xml:space="preserve"> </w:t>
            </w:r>
            <w:r w:rsidR="000D35A7">
              <w:rPr>
                <w:sz w:val="18"/>
                <w:szCs w:val="18"/>
              </w:rPr>
              <w:t>(</w:t>
            </w:r>
            <w:r w:rsidR="000D35A7" w:rsidRPr="000D35A7">
              <w:rPr>
                <w:sz w:val="18"/>
                <w:szCs w:val="18"/>
              </w:rPr>
              <w:t>Overall – All Banks</w:t>
            </w:r>
            <w:r w:rsidR="000D35A7">
              <w:rPr>
                <w:sz w:val="18"/>
                <w:szCs w:val="18"/>
              </w:rPr>
              <w:t>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FB29B3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1562BB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27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Weighted Aver</w:t>
            </w:r>
            <w:r w:rsidR="000D35A7">
              <w:rPr>
                <w:sz w:val="18"/>
                <w:szCs w:val="18"/>
              </w:rPr>
              <w:t>age Rates of Return on Deposits</w:t>
            </w:r>
            <w:r w:rsidR="000D35A7" w:rsidRPr="000D35A7">
              <w:rPr>
                <w:sz w:val="18"/>
                <w:szCs w:val="18"/>
              </w:rPr>
              <w:t xml:space="preserve"> </w:t>
            </w:r>
            <w:r w:rsidR="000D35A7">
              <w:rPr>
                <w:sz w:val="18"/>
                <w:szCs w:val="18"/>
              </w:rPr>
              <w:t>(</w:t>
            </w:r>
            <w:r w:rsidR="000D35A7" w:rsidRPr="000D35A7">
              <w:rPr>
                <w:sz w:val="18"/>
                <w:szCs w:val="18"/>
              </w:rPr>
              <w:t>Conventional Banking– All Banks</w:t>
            </w:r>
            <w:r w:rsidR="000D35A7">
              <w:rPr>
                <w:sz w:val="18"/>
                <w:szCs w:val="18"/>
              </w:rPr>
              <w:t>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</w:tr>
      <w:tr w:rsidR="00FB29B3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1562BB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28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Weighted Avera</w:t>
            </w:r>
            <w:r w:rsidR="000D35A7">
              <w:rPr>
                <w:sz w:val="18"/>
                <w:szCs w:val="18"/>
              </w:rPr>
              <w:t>ge Rates of Return on Deposits (</w:t>
            </w:r>
            <w:r w:rsidR="000D35A7" w:rsidRPr="000D35A7">
              <w:rPr>
                <w:sz w:val="18"/>
                <w:szCs w:val="18"/>
              </w:rPr>
              <w:t>Islamic Banking – All Banks</w:t>
            </w:r>
            <w:r w:rsidR="000D35A7">
              <w:rPr>
                <w:sz w:val="18"/>
                <w:szCs w:val="18"/>
              </w:rPr>
              <w:t>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2</w:t>
            </w:r>
          </w:p>
        </w:tc>
      </w:tr>
      <w:tr w:rsidR="00FB29B3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1562BB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29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44514" w:rsidP="00211365">
            <w:pPr>
              <w:rPr>
                <w:sz w:val="18"/>
                <w:szCs w:val="18"/>
              </w:rPr>
            </w:pPr>
            <w:r w:rsidRPr="00444514">
              <w:rPr>
                <w:sz w:val="18"/>
                <w:szCs w:val="18"/>
              </w:rPr>
              <w:t>Scheduled Banks' Weighted Average Rates of Return / Interest on Advances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3</w:t>
            </w:r>
          </w:p>
        </w:tc>
      </w:tr>
      <w:tr w:rsidR="00FB29B3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FB29B3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1562BB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30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C54D05" w:rsidP="00211365">
            <w:pPr>
              <w:rPr>
                <w:sz w:val="18"/>
                <w:szCs w:val="18"/>
              </w:rPr>
            </w:pPr>
            <w:r w:rsidRPr="00C54D05">
              <w:rPr>
                <w:sz w:val="18"/>
                <w:szCs w:val="18"/>
              </w:rPr>
              <w:t>Structure of Interest Rates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FB29B3" w:rsidRPr="008B5F52" w:rsidTr="00211365">
        <w:trPr>
          <w:trHeight w:hRule="exact" w:val="20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FB29B3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1562BB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31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B29B3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Weighted Average Lending and Deposits Rates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FB29B3" w:rsidRPr="008B5F52" w:rsidTr="00211365">
        <w:trPr>
          <w:trHeight w:hRule="exact" w:val="439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FB29B3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1562BB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32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FB29B3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Average Rates of Return on Advances of Specialized Agricultura</w:t>
            </w:r>
            <w:r w:rsidR="00390337">
              <w:rPr>
                <w:sz w:val="18"/>
                <w:szCs w:val="18"/>
              </w:rPr>
              <w:t>l Finance</w:t>
            </w:r>
            <w:r w:rsidR="00AB267A">
              <w:rPr>
                <w:sz w:val="18"/>
                <w:szCs w:val="18"/>
              </w:rPr>
              <w:t xml:space="preserve"> Institutions and Agriculture </w:t>
            </w:r>
            <w:r w:rsidRPr="008B5F52">
              <w:rPr>
                <w:sz w:val="18"/>
                <w:szCs w:val="18"/>
              </w:rPr>
              <w:t xml:space="preserve">Lending </w:t>
            </w:r>
            <w:r w:rsidR="00AB267A">
              <w:rPr>
                <w:sz w:val="18"/>
                <w:szCs w:val="18"/>
              </w:rPr>
              <w:t xml:space="preserve">of </w:t>
            </w:r>
            <w:r w:rsidRPr="008B5F52">
              <w:rPr>
                <w:sz w:val="18"/>
                <w:szCs w:val="18"/>
              </w:rPr>
              <w:t>Commercial Banks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FB29B3" w:rsidRPr="008B5F52" w:rsidTr="00211365">
        <w:trPr>
          <w:trHeight w:hRule="exact" w:val="19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FB29B3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1562BB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33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B29B3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Rates of Profit on National Saving Schemes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1562BB" w:rsidRPr="008B5F52" w:rsidTr="00211365">
        <w:trPr>
          <w:trHeight w:hRule="exact" w:val="193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562BB" w:rsidRPr="008B5F52" w:rsidRDefault="001562BB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215" w:type="dxa"/>
            <w:gridSpan w:val="2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562BB" w:rsidRPr="008B5F52" w:rsidRDefault="001562BB" w:rsidP="00211365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Miscellaneous</w:t>
            </w:r>
            <w:r w:rsidRPr="00D73095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562BB" w:rsidRPr="008B5F52" w:rsidRDefault="001562BB" w:rsidP="00211365">
            <w:pPr>
              <w:jc w:val="center"/>
              <w:rPr>
                <w:sz w:val="18"/>
                <w:szCs w:val="18"/>
              </w:rPr>
            </w:pPr>
          </w:p>
        </w:tc>
      </w:tr>
      <w:tr w:rsidR="00A63137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A63137" w:rsidRPr="008B5F52" w:rsidRDefault="00A63137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D73095" w:rsidRDefault="00A63137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34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A63137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Branchless Banking: Key Indicators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A63137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A63137" w:rsidRPr="008B5F52" w:rsidRDefault="00A63137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D73095" w:rsidRDefault="00A63137" w:rsidP="00211365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D73095" w:rsidRDefault="00A63137" w:rsidP="00211365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Telegraphic Transfers issued and encashed by the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D73095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 w:rsidR="00A63137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A63137" w:rsidRPr="008B5F52" w:rsidRDefault="00A63137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A63137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D73095" w:rsidRDefault="00A63137" w:rsidP="00211365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Clearing House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D73095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</w:tr>
      <w:tr w:rsidR="00A63137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A63137" w:rsidRPr="008B5F52" w:rsidRDefault="00A63137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6A7F17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  <w:r w:rsidR="00A63137">
              <w:rPr>
                <w:sz w:val="18"/>
                <w:szCs w:val="18"/>
              </w:rPr>
              <w:t>7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A63137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Electronic Banking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  <w:r w:rsidR="009D71BB">
              <w:rPr>
                <w:sz w:val="18"/>
                <w:szCs w:val="18"/>
              </w:rPr>
              <w:t>-7</w:t>
            </w:r>
            <w:r>
              <w:rPr>
                <w:sz w:val="18"/>
                <w:szCs w:val="18"/>
              </w:rPr>
              <w:t>3</w:t>
            </w:r>
          </w:p>
        </w:tc>
      </w:tr>
      <w:tr w:rsidR="00A63137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A63137" w:rsidRPr="008B5F52" w:rsidRDefault="00A63137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A63137" w:rsidP="00211365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A63137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Real Time Gross Settlement </w:t>
            </w:r>
            <w:r w:rsidR="00F67936">
              <w:rPr>
                <w:sz w:val="18"/>
                <w:szCs w:val="18"/>
              </w:rPr>
              <w:t xml:space="preserve">- </w:t>
            </w:r>
            <w:r w:rsidRPr="008B5F52">
              <w:rPr>
                <w:sz w:val="18"/>
                <w:szCs w:val="18"/>
              </w:rPr>
              <w:t>Systems Based Transactions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604662">
              <w:rPr>
                <w:sz w:val="18"/>
                <w:szCs w:val="18"/>
              </w:rPr>
              <w:t>3</w:t>
            </w:r>
          </w:p>
        </w:tc>
      </w:tr>
      <w:tr w:rsidR="00F67936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</w:tcPr>
          <w:p w:rsidR="00F67936" w:rsidRPr="008B5F52" w:rsidRDefault="00F67936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67936" w:rsidRPr="008B5F52" w:rsidRDefault="00F67936" w:rsidP="00211365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39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67936" w:rsidRPr="008B5F52" w:rsidRDefault="00F67936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Real Time Gross Settlement </w:t>
            </w:r>
            <w:r>
              <w:rPr>
                <w:sz w:val="18"/>
                <w:szCs w:val="18"/>
              </w:rPr>
              <w:t xml:space="preserve">- </w:t>
            </w:r>
            <w:r w:rsidRPr="008B5F52">
              <w:rPr>
                <w:sz w:val="18"/>
                <w:szCs w:val="18"/>
              </w:rPr>
              <w:t>Paper Based Transactions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67936" w:rsidRPr="008B5F52" w:rsidRDefault="00F6793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</w:tr>
      <w:tr w:rsidR="00FD1E8D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D1E8D" w:rsidRPr="008B5F52" w:rsidRDefault="00FD1E8D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E8D" w:rsidRPr="008B5F52" w:rsidRDefault="006A7F17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F67936">
              <w:rPr>
                <w:sz w:val="18"/>
                <w:szCs w:val="18"/>
              </w:rPr>
              <w:t>40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E8D" w:rsidRPr="008B5F52" w:rsidRDefault="00FD1E8D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Segment and Sector-wise Advances and Non Performing Loans 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E8D" w:rsidRPr="008B5F52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FD1E8D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D1E8D" w:rsidRPr="008B5F52" w:rsidRDefault="00FD1E8D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E8D" w:rsidRPr="008B5F52" w:rsidRDefault="006A7F17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  <w:r w:rsidR="00F67936">
              <w:rPr>
                <w:sz w:val="18"/>
                <w:szCs w:val="18"/>
              </w:rPr>
              <w:t>1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E8D" w:rsidRPr="008B5F52" w:rsidRDefault="00FD1E8D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Non-Performing Loans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E8D" w:rsidRPr="008B5F52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CB6CB0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</w:tcPr>
          <w:p w:rsidR="00CB6CB0" w:rsidRPr="008B5F52" w:rsidRDefault="00CB6CB0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6CB0" w:rsidRPr="008B5F52" w:rsidRDefault="00CB6CB0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6CB0" w:rsidRPr="008B5F52" w:rsidRDefault="00CB6CB0" w:rsidP="00211365">
            <w:pPr>
              <w:rPr>
                <w:sz w:val="18"/>
                <w:szCs w:val="18"/>
              </w:rPr>
            </w:pPr>
            <w:r w:rsidRPr="00CB6CB0">
              <w:rPr>
                <w:sz w:val="18"/>
                <w:szCs w:val="18"/>
              </w:rPr>
              <w:t>Cash Recovery against Non-Performing Loans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6CB0" w:rsidRPr="008B5F52" w:rsidRDefault="00CB6CB0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</w:tr>
      <w:tr w:rsidR="00FD1E8D" w:rsidRPr="008B5F52" w:rsidTr="00211365">
        <w:trPr>
          <w:trHeight w:hRule="exact" w:val="220"/>
        </w:trPr>
        <w:tc>
          <w:tcPr>
            <w:tcW w:w="9238" w:type="dxa"/>
            <w:gridSpan w:val="4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E8D" w:rsidRPr="008B5F52" w:rsidRDefault="00FD1E8D" w:rsidP="00211365">
            <w:pPr>
              <w:rPr>
                <w:b/>
                <w:bCs/>
              </w:rPr>
            </w:pPr>
            <w:r w:rsidRPr="008B5F52">
              <w:rPr>
                <w:b/>
                <w:bCs/>
              </w:rPr>
              <w:t xml:space="preserve">4. </w:t>
            </w:r>
            <w:r>
              <w:rPr>
                <w:b/>
                <w:bCs/>
              </w:rPr>
              <w:t>External Sector</w:t>
            </w:r>
          </w:p>
        </w:tc>
      </w:tr>
      <w:tr w:rsidR="00E26556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E26556" w:rsidRPr="008B5F52" w:rsidRDefault="00E26556" w:rsidP="00211365">
            <w:pPr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6556" w:rsidRPr="008B5F52" w:rsidRDefault="00E26556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6556" w:rsidRPr="008B5F52" w:rsidRDefault="00E26556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Daily Fore</w:t>
            </w:r>
            <w:r w:rsidR="002D4B12">
              <w:rPr>
                <w:sz w:val="18"/>
                <w:szCs w:val="18"/>
              </w:rPr>
              <w:t xml:space="preserve">ign Exchange Rates Pak. Rupees </w:t>
            </w:r>
            <w:r w:rsidRPr="008B5F52">
              <w:rPr>
                <w:sz w:val="18"/>
                <w:szCs w:val="18"/>
              </w:rPr>
              <w:t>per Currency Unit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6556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  <w:r w:rsidR="00E26556">
              <w:rPr>
                <w:sz w:val="18"/>
                <w:szCs w:val="18"/>
              </w:rPr>
              <w:t>-7</w:t>
            </w:r>
            <w:r>
              <w:rPr>
                <w:sz w:val="18"/>
                <w:szCs w:val="18"/>
              </w:rPr>
              <w:t>9</w:t>
            </w:r>
          </w:p>
        </w:tc>
      </w:tr>
      <w:tr w:rsidR="00E26556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E26556" w:rsidRPr="008B5F52" w:rsidRDefault="00E26556" w:rsidP="00211365">
            <w:pPr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6556" w:rsidRPr="008B5F52" w:rsidRDefault="00E26556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6556" w:rsidRPr="008B5F52" w:rsidRDefault="00E26556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E</w:t>
            </w:r>
            <w:r>
              <w:rPr>
                <w:sz w:val="18"/>
                <w:szCs w:val="18"/>
              </w:rPr>
              <w:t>xchange Rates Pak. Rupee per</w:t>
            </w:r>
            <w:r w:rsidRPr="00BB0A97">
              <w:rPr>
                <w:sz w:val="18"/>
                <w:szCs w:val="18"/>
              </w:rPr>
              <w:t xml:space="preserve"> US Dollar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6556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  <w:tr w:rsidR="005D5268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Nominal Effective Exchange Rate and Real Effective Exchange Rate (NEER and REER) Indices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  <w:tr w:rsidR="005D5268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Average Exchange Rates of Major Currencies 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</w:tr>
      <w:tr w:rsidR="005D5268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Appreciation/Depreciation o</w:t>
            </w:r>
            <w:r>
              <w:rPr>
                <w:sz w:val="18"/>
                <w:szCs w:val="18"/>
              </w:rPr>
              <w:t xml:space="preserve">f Selected Currencies </w:t>
            </w:r>
            <w:r w:rsidRPr="00BB0A97">
              <w:rPr>
                <w:sz w:val="18"/>
                <w:szCs w:val="18"/>
              </w:rPr>
              <w:t>Against US Dollar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604662">
              <w:rPr>
                <w:sz w:val="18"/>
                <w:szCs w:val="18"/>
              </w:rPr>
              <w:t>2</w:t>
            </w:r>
          </w:p>
        </w:tc>
      </w:tr>
      <w:tr w:rsidR="005D5268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Appreciation/Depreciation of Selected Currencies Against SDR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604662">
              <w:rPr>
                <w:sz w:val="18"/>
                <w:szCs w:val="18"/>
              </w:rPr>
              <w:t>3</w:t>
            </w:r>
          </w:p>
        </w:tc>
      </w:tr>
      <w:tr w:rsidR="005D5268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Appreciation/Depreciation of Pak Rupee Against Selected Currencies  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5D5268" w:rsidRPr="008B5F52" w:rsidTr="00211365">
        <w:trPr>
          <w:trHeight w:hRule="exact" w:val="20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4.8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Workers’ Remittances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5D5268" w:rsidRPr="008B5F52" w:rsidTr="00211365">
        <w:trPr>
          <w:trHeight w:hRule="exact" w:val="265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4.9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Pakistan's Balance of Payments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  <w:r w:rsidR="005D5268">
              <w:rPr>
                <w:sz w:val="18"/>
                <w:szCs w:val="18"/>
              </w:rPr>
              <w:t>-8</w:t>
            </w:r>
            <w:r>
              <w:rPr>
                <w:sz w:val="18"/>
                <w:szCs w:val="18"/>
              </w:rPr>
              <w:t>7</w:t>
            </w:r>
          </w:p>
        </w:tc>
      </w:tr>
      <w:tr w:rsidR="005D5268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4.10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International Investment Position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  <w:r w:rsidR="005D5268">
              <w:rPr>
                <w:sz w:val="18"/>
                <w:szCs w:val="18"/>
              </w:rPr>
              <w:t>-</w:t>
            </w:r>
            <w:r w:rsidR="001F630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9</w:t>
            </w:r>
          </w:p>
        </w:tc>
      </w:tr>
      <w:tr w:rsidR="005D5268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4.11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Gold and Foreign Exchange Reserves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</w:tr>
      <w:tr w:rsidR="005D5268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Currency Deposits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</w:tr>
      <w:tr w:rsidR="005D5268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4.13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Investment in Pakistan by Country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04662">
              <w:rPr>
                <w:sz w:val="18"/>
                <w:szCs w:val="18"/>
              </w:rPr>
              <w:t>2</w:t>
            </w:r>
          </w:p>
        </w:tc>
      </w:tr>
      <w:tr w:rsidR="005D5268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Direct Investment Classified by Economic Groups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04662">
              <w:rPr>
                <w:sz w:val="18"/>
                <w:szCs w:val="18"/>
              </w:rPr>
              <w:t>3</w:t>
            </w:r>
          </w:p>
        </w:tc>
      </w:tr>
      <w:tr w:rsidR="005D5268" w:rsidRPr="008B5F52" w:rsidTr="00211365">
        <w:trPr>
          <w:trHeight w:hRule="exact" w:val="250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4.15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Balance of Trade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</w:p>
        </w:tc>
      </w:tr>
      <w:tr w:rsidR="005D5268" w:rsidRPr="008B5F52" w:rsidTr="00211365">
        <w:trPr>
          <w:trHeight w:hRule="exact" w:val="24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5D5268" w:rsidRPr="008B5F52" w:rsidTr="00211365">
        <w:trPr>
          <w:trHeight w:hRule="exact" w:val="24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5D5268" w:rsidRPr="008B5F52" w:rsidTr="00211365">
        <w:trPr>
          <w:trHeight w:hRule="exact" w:val="24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4.16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Exports by Selected Commodities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</w:tr>
      <w:tr w:rsidR="005D5268" w:rsidRPr="008B5F52" w:rsidTr="00211365">
        <w:trPr>
          <w:trHeight w:hRule="exact" w:val="24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1F6308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5D5268" w:rsidRPr="008B5F52" w:rsidTr="00211365">
        <w:trPr>
          <w:trHeight w:hRule="exact" w:val="24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1F6308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5D5268" w:rsidRPr="008B5F52" w:rsidTr="00211365">
        <w:trPr>
          <w:trHeight w:hRule="exact" w:val="24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4.17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Imports by</w:t>
            </w:r>
            <w:r w:rsidR="002D4B12">
              <w:rPr>
                <w:sz w:val="18"/>
                <w:szCs w:val="18"/>
              </w:rPr>
              <w:t xml:space="preserve"> Selected </w:t>
            </w:r>
            <w:r w:rsidRPr="008B5F52">
              <w:rPr>
                <w:sz w:val="18"/>
                <w:szCs w:val="18"/>
              </w:rPr>
              <w:t>Commodities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</w:p>
        </w:tc>
      </w:tr>
      <w:tr w:rsidR="005D5268" w:rsidRPr="008B5F52" w:rsidTr="00211365">
        <w:trPr>
          <w:trHeight w:hRule="exact" w:val="24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5D5268" w:rsidRPr="008B5F52" w:rsidTr="00211365">
        <w:trPr>
          <w:trHeight w:hRule="exact" w:val="24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</w:tr>
      <w:tr w:rsidR="005D5268" w:rsidRPr="008B5F52" w:rsidTr="00211365">
        <w:trPr>
          <w:trHeight w:hRule="exact" w:val="24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4.18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Exports by Selected Countries / Territories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</w:p>
        </w:tc>
      </w:tr>
      <w:tr w:rsidR="005D5268" w:rsidRPr="008B5F52" w:rsidTr="00211365">
        <w:trPr>
          <w:trHeight w:hRule="exact" w:val="24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  <w:r w:rsidR="005D5268">
              <w:rPr>
                <w:sz w:val="18"/>
                <w:szCs w:val="18"/>
              </w:rPr>
              <w:t>-10</w:t>
            </w:r>
            <w:r>
              <w:rPr>
                <w:sz w:val="18"/>
                <w:szCs w:val="18"/>
              </w:rPr>
              <w:t>3</w:t>
            </w:r>
          </w:p>
        </w:tc>
      </w:tr>
      <w:tr w:rsidR="005D5268" w:rsidRPr="008B5F52" w:rsidTr="00211365">
        <w:trPr>
          <w:trHeight w:hRule="exact" w:val="24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  <w:r w:rsidR="005D5268">
              <w:rPr>
                <w:sz w:val="18"/>
                <w:szCs w:val="18"/>
              </w:rPr>
              <w:t>-10</w:t>
            </w:r>
            <w:r>
              <w:rPr>
                <w:sz w:val="18"/>
                <w:szCs w:val="18"/>
              </w:rPr>
              <w:t>5</w:t>
            </w:r>
          </w:p>
        </w:tc>
      </w:tr>
      <w:tr w:rsidR="005D5268" w:rsidRPr="008B5F52" w:rsidTr="00211365">
        <w:trPr>
          <w:trHeight w:hRule="exact" w:val="24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4.19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Imports by Selected Countries / Territories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</w:p>
        </w:tc>
      </w:tr>
      <w:tr w:rsidR="005D5268" w:rsidRPr="008B5F52" w:rsidTr="00211365">
        <w:trPr>
          <w:trHeight w:hRule="exact" w:val="240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1F6308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604662">
              <w:rPr>
                <w:sz w:val="18"/>
                <w:szCs w:val="18"/>
              </w:rPr>
              <w:t>6</w:t>
            </w:r>
            <w:r w:rsidR="005D5268">
              <w:rPr>
                <w:sz w:val="18"/>
                <w:szCs w:val="18"/>
              </w:rPr>
              <w:t>-10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5D5268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  <w:r w:rsidR="005D5268">
              <w:rPr>
                <w:sz w:val="18"/>
                <w:szCs w:val="18"/>
              </w:rPr>
              <w:t>-1</w:t>
            </w:r>
            <w:r w:rsidR="001F630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9</w:t>
            </w:r>
          </w:p>
        </w:tc>
      </w:tr>
    </w:tbl>
    <w:p w:rsidR="008504A0" w:rsidRPr="00211365" w:rsidRDefault="008504A0">
      <w:pPr>
        <w:rPr>
          <w:sz w:val="2"/>
        </w:rPr>
      </w:pPr>
    </w:p>
    <w:tbl>
      <w:tblPr>
        <w:tblpPr w:leftFromText="180" w:rightFromText="180" w:vertAnchor="text" w:horzAnchor="margin" w:tblpXSpec="center" w:tblpY="48"/>
        <w:tblOverlap w:val="never"/>
        <w:tblW w:w="91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"/>
        <w:gridCol w:w="540"/>
        <w:gridCol w:w="7440"/>
        <w:gridCol w:w="900"/>
      </w:tblGrid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D73095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Terms of Trade and Indices of Unit Value-Exports by Commodity Groups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C4DCC" w:rsidRPr="008B5F52" w:rsidRDefault="001F6308" w:rsidP="00646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10</w:t>
            </w:r>
          </w:p>
        </w:tc>
      </w:tr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Indices of Unit Value Imports by Commodity Groups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F6308" w:rsidP="00646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10</w:t>
            </w:r>
          </w:p>
        </w:tc>
      </w:tr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Quantum Indices of Exports by Commodity Groups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F6308" w:rsidP="00646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11</w:t>
            </w:r>
          </w:p>
        </w:tc>
      </w:tr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tcW w:w="7440" w:type="dxa"/>
            <w:shd w:val="clear" w:color="auto" w:fill="auto"/>
          </w:tcPr>
          <w:p w:rsidR="001C4DCC" w:rsidRPr="008B5F52" w:rsidRDefault="001C4DCC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Quantum Indices of Imports by Commodity Groups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F6308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11</w:t>
            </w:r>
          </w:p>
        </w:tc>
      </w:tr>
      <w:tr w:rsidR="001C4DCC" w:rsidRPr="008B5F52" w:rsidTr="00211365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1C4DCC" w:rsidRPr="008B5F52" w:rsidRDefault="001C4DCC" w:rsidP="001C4DCC">
            <w:pPr>
              <w:rPr>
                <w:sz w:val="16"/>
                <w:szCs w:val="16"/>
              </w:rPr>
            </w:pPr>
            <w:r w:rsidRPr="008B5F52">
              <w:rPr>
                <w:b/>
              </w:rPr>
              <w:t xml:space="preserve">5. </w:t>
            </w:r>
            <w:r>
              <w:rPr>
                <w:b/>
              </w:rPr>
              <w:t>Domestic and External Debt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C4DCC" w:rsidP="001C4DCC">
            <w:pPr>
              <w:jc w:val="right"/>
              <w:rPr>
                <w:sz w:val="18"/>
                <w:szCs w:val="18"/>
              </w:rPr>
            </w:pPr>
          </w:p>
        </w:tc>
      </w:tr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pStyle w:val="NoSpacing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5F52">
              <w:rPr>
                <w:rFonts w:ascii="Times New Roman" w:eastAsia="Times New Roman" w:hAnsi="Times New Roman"/>
                <w:sz w:val="18"/>
                <w:szCs w:val="18"/>
              </w:rPr>
              <w:t>Pakistan’s Debt and Liabilities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Pr="008B5F52">
              <w:rPr>
                <w:rFonts w:ascii="Times New Roman" w:eastAsia="Times New Roman" w:hAnsi="Times New Roman"/>
                <w:sz w:val="18"/>
                <w:szCs w:val="18"/>
              </w:rPr>
              <w:t>Summary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B13AC7" w:rsidP="001C4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Pakistan’s Debt and Liabilities Profile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B13AC7" w:rsidP="00666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Government Domestic Debt and Liabilities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B13AC7" w:rsidP="00666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2D4B12" w:rsidP="00E74D58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Pakistan’s </w:t>
            </w:r>
            <w:r w:rsidR="001C4DCC" w:rsidRPr="008B5F52">
              <w:rPr>
                <w:sz w:val="18"/>
                <w:szCs w:val="18"/>
              </w:rPr>
              <w:t xml:space="preserve">External Debt </w:t>
            </w:r>
            <w:r w:rsidR="00E74D58">
              <w:rPr>
                <w:sz w:val="18"/>
                <w:szCs w:val="18"/>
              </w:rPr>
              <w:t>and</w:t>
            </w:r>
            <w:r w:rsidR="001C4DCC" w:rsidRPr="008B5F52">
              <w:rPr>
                <w:sz w:val="18"/>
                <w:szCs w:val="18"/>
              </w:rPr>
              <w:t xml:space="preserve"> Liabilities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B13AC7" w:rsidP="00666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Pakistan’s External Debt Servicing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Pr="008B5F52">
              <w:rPr>
                <w:sz w:val="18"/>
                <w:szCs w:val="18"/>
              </w:rPr>
              <w:t>Principal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B13AC7" w:rsidP="00666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Pakistan’s External  Debt  Servicing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Pr="008B5F52">
              <w:rPr>
                <w:sz w:val="18"/>
                <w:szCs w:val="18"/>
              </w:rPr>
              <w:t>Interest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61295" w:rsidRPr="008B5F52" w:rsidRDefault="00B13AC7" w:rsidP="00961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96129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Ownership Classification of the Federal Government Debt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61295" w:rsidRPr="008B5F52" w:rsidRDefault="00B13AC7" w:rsidP="00961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20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5.8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961295">
            <w:pPr>
              <w:pStyle w:val="NoSpacing"/>
              <w:rPr>
                <w:sz w:val="18"/>
                <w:szCs w:val="18"/>
              </w:rPr>
            </w:pPr>
            <w:r w:rsidRPr="008B5F52">
              <w:rPr>
                <w:rFonts w:ascii="Times New Roman" w:eastAsia="Times New Roman" w:hAnsi="Times New Roman"/>
                <w:sz w:val="18"/>
                <w:szCs w:val="18"/>
              </w:rPr>
              <w:t xml:space="preserve">Outstanding Domestic Debt of Public Sector Enterprises (PSEs)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61295" w:rsidRPr="008B5F52" w:rsidRDefault="00B13AC7" w:rsidP="00961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21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2D4B12" w:rsidP="0096129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National Saving </w:t>
            </w:r>
            <w:r w:rsidR="00961295" w:rsidRPr="008B5F52">
              <w:rPr>
                <w:sz w:val="18"/>
                <w:szCs w:val="18"/>
              </w:rPr>
              <w:t>Schemes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="00961295" w:rsidRPr="008B5F52">
              <w:rPr>
                <w:sz w:val="18"/>
                <w:szCs w:val="18"/>
              </w:rPr>
              <w:t>Outstanding Amount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61295" w:rsidRPr="008B5F52" w:rsidRDefault="00B13AC7" w:rsidP="00961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604662">
              <w:rPr>
                <w:sz w:val="18"/>
                <w:szCs w:val="18"/>
              </w:rPr>
              <w:t>2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961295" w:rsidRPr="008B5F52" w:rsidRDefault="00961295" w:rsidP="00961295">
            <w:pPr>
              <w:spacing w:line="220" w:lineRule="exact"/>
              <w:rPr>
                <w:b/>
                <w:sz w:val="24"/>
              </w:rPr>
            </w:pPr>
            <w:r w:rsidRPr="008B5F52">
              <w:rPr>
                <w:b/>
              </w:rPr>
              <w:t>6. Open Market Operation</w:t>
            </w:r>
          </w:p>
        </w:tc>
        <w:tc>
          <w:tcPr>
            <w:tcW w:w="900" w:type="dxa"/>
            <w:shd w:val="clear" w:color="auto" w:fill="auto"/>
          </w:tcPr>
          <w:p w:rsidR="00961295" w:rsidRPr="008B5F52" w:rsidRDefault="00961295" w:rsidP="00961295">
            <w:pPr>
              <w:jc w:val="right"/>
              <w:rPr>
                <w:sz w:val="18"/>
                <w:szCs w:val="18"/>
              </w:rPr>
            </w:pP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961295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Government of Pakistan Treasury Bills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B13AC7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581AFC" w:rsidP="002D4B12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Sale/</w:t>
            </w:r>
            <w:r w:rsidR="00961295" w:rsidRPr="008B5F52">
              <w:rPr>
                <w:sz w:val="18"/>
                <w:szCs w:val="18"/>
              </w:rPr>
              <w:t>Purchase of  Treasury Bills under Open Market Operation by SBP with Banks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961295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SB</w:t>
            </w:r>
            <w:r>
              <w:rPr>
                <w:sz w:val="18"/>
                <w:szCs w:val="18"/>
              </w:rPr>
              <w:t xml:space="preserve">P Overnight REPO/Reverse REPO </w:t>
            </w:r>
            <w:r w:rsidRPr="00BB0A97">
              <w:rPr>
                <w:sz w:val="18"/>
                <w:szCs w:val="18"/>
              </w:rPr>
              <w:t>Facilities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961295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961295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Auction of Government of Pakistan </w:t>
            </w:r>
            <w:r w:rsidR="009138A1">
              <w:rPr>
                <w:sz w:val="18"/>
                <w:szCs w:val="18"/>
              </w:rPr>
              <w:t>Market</w:t>
            </w:r>
            <w:r w:rsidRPr="008B5F52">
              <w:rPr>
                <w:sz w:val="18"/>
                <w:szCs w:val="18"/>
              </w:rPr>
              <w:t xml:space="preserve"> Treasury Bills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B13AC7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Auction of Pakistan Investment Bonds (PIBs)</w:t>
            </w:r>
            <w:r w:rsidR="00CA3641">
              <w:rPr>
                <w:sz w:val="18"/>
                <w:szCs w:val="18"/>
              </w:rPr>
              <w:t xml:space="preserve"> Fixed rate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B13AC7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61295">
              <w:rPr>
                <w:sz w:val="18"/>
                <w:szCs w:val="18"/>
              </w:rPr>
              <w:t>2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Auction of Pakistan Investment Bonds (PIBs)</w:t>
            </w:r>
            <w:r>
              <w:rPr>
                <w:sz w:val="18"/>
                <w:szCs w:val="18"/>
              </w:rPr>
              <w:t xml:space="preserve"> Floating rate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KIBOR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30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Inter-Bank Weighted Average </w:t>
            </w:r>
            <w:r w:rsidRPr="00BB0A97">
              <w:rPr>
                <w:sz w:val="18"/>
                <w:szCs w:val="18"/>
              </w:rPr>
              <w:t>Call Rates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31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SBP Mark to Market Rates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604662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  <w:r w:rsidR="00CA3641" w:rsidRPr="008B5F52">
              <w:rPr>
                <w:sz w:val="18"/>
                <w:szCs w:val="18"/>
              </w:rPr>
              <w:t>-</w:t>
            </w:r>
            <w:r w:rsidR="00CA3641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3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Secondary Market Transactions in Government Securities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8280" w:type="dxa"/>
            <w:gridSpan w:val="3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b/>
                <w:sz w:val="16"/>
                <w:szCs w:val="18"/>
              </w:rPr>
            </w:pPr>
            <w:r w:rsidRPr="008B5F52">
              <w:rPr>
                <w:b/>
              </w:rPr>
              <w:t xml:space="preserve">7. Capital Market </w:t>
            </w:r>
          </w:p>
        </w:tc>
        <w:tc>
          <w:tcPr>
            <w:tcW w:w="9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E74D58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KSE 100 </w:t>
            </w:r>
            <w:r w:rsidR="00E74D58">
              <w:rPr>
                <w:sz w:val="18"/>
                <w:szCs w:val="18"/>
              </w:rPr>
              <w:t>and</w:t>
            </w:r>
            <w:r w:rsidRPr="008B5F52">
              <w:rPr>
                <w:sz w:val="18"/>
                <w:szCs w:val="18"/>
              </w:rPr>
              <w:t xml:space="preserve"> All Share Index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 Stock Exchange Indicators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Market Capitalization of PSX all Shares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Turn Over of Shares at Pakistan Stock Exchange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40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Financial </w:t>
            </w:r>
            <w:r w:rsidRPr="00BB0A97">
              <w:rPr>
                <w:sz w:val="18"/>
                <w:szCs w:val="18"/>
              </w:rPr>
              <w:t>Statements</w:t>
            </w:r>
            <w:r w:rsidRPr="008B5F52">
              <w:rPr>
                <w:sz w:val="18"/>
                <w:szCs w:val="18"/>
              </w:rPr>
              <w:t xml:space="preserve"> Analysis of Non-Financial Sector Overall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41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Financial </w:t>
            </w:r>
            <w:r w:rsidRPr="00BB0A97">
              <w:rPr>
                <w:sz w:val="18"/>
                <w:szCs w:val="18"/>
              </w:rPr>
              <w:t>Statements</w:t>
            </w:r>
            <w:r w:rsidRPr="008B5F52">
              <w:rPr>
                <w:sz w:val="18"/>
                <w:szCs w:val="18"/>
              </w:rPr>
              <w:t xml:space="preserve"> Analysis of Non-Financial Sector Private </w:t>
            </w:r>
            <w:r w:rsidRPr="00234B8D">
              <w:rPr>
                <w:sz w:val="18"/>
                <w:szCs w:val="18"/>
              </w:rPr>
              <w:t>Overall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604662">
              <w:rPr>
                <w:sz w:val="18"/>
                <w:szCs w:val="18"/>
              </w:rPr>
              <w:t>2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7.7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Financial</w:t>
            </w:r>
            <w:r w:rsidRPr="00BB0A97">
              <w:rPr>
                <w:sz w:val="18"/>
                <w:szCs w:val="18"/>
              </w:rPr>
              <w:t xml:space="preserve"> Statements </w:t>
            </w:r>
            <w:r w:rsidRPr="008B5F52">
              <w:rPr>
                <w:sz w:val="18"/>
                <w:szCs w:val="18"/>
              </w:rPr>
              <w:t xml:space="preserve">Analysis of Non-Financial Sector Public </w:t>
            </w:r>
            <w:r w:rsidRPr="00234B8D">
              <w:rPr>
                <w:sz w:val="18"/>
                <w:szCs w:val="18"/>
              </w:rPr>
              <w:t>Overall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604662">
              <w:rPr>
                <w:sz w:val="18"/>
                <w:szCs w:val="18"/>
              </w:rPr>
              <w:t>3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</w:rPr>
            </w:pPr>
            <w:r w:rsidRPr="008B5F52">
              <w:rPr>
                <w:b/>
              </w:rPr>
              <w:t>8. Prices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Consumer Price Index Number</w:t>
            </w:r>
            <w:r>
              <w:rPr>
                <w:sz w:val="18"/>
                <w:szCs w:val="18"/>
              </w:rPr>
              <w:t>s by Commodity Groups (National</w:t>
            </w:r>
            <w:r w:rsidRPr="008B5F52">
              <w:rPr>
                <w:sz w:val="18"/>
                <w:szCs w:val="18"/>
              </w:rPr>
              <w:t xml:space="preserve">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8.2</w:t>
            </w:r>
          </w:p>
        </w:tc>
        <w:tc>
          <w:tcPr>
            <w:tcW w:w="7440" w:type="dxa"/>
            <w:shd w:val="clear" w:color="auto" w:fill="auto"/>
          </w:tcPr>
          <w:p w:rsidR="00CA3641" w:rsidRDefault="00CA3641" w:rsidP="00CA3641">
            <w:r w:rsidRPr="001829E9">
              <w:rPr>
                <w:sz w:val="18"/>
                <w:szCs w:val="18"/>
              </w:rPr>
              <w:t>Consumer Price Index N</w:t>
            </w:r>
            <w:r>
              <w:rPr>
                <w:sz w:val="18"/>
                <w:szCs w:val="18"/>
              </w:rPr>
              <w:t>umbers by Commodity Groups (</w:t>
            </w:r>
            <w:r w:rsidRPr="001829E9">
              <w:rPr>
                <w:sz w:val="18"/>
                <w:szCs w:val="18"/>
              </w:rPr>
              <w:t xml:space="preserve">Urban)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5E496F" w:rsidRDefault="00CA3641" w:rsidP="00CA3641">
            <w:pPr>
              <w:jc w:val="right"/>
              <w:rPr>
                <w:sz w:val="18"/>
                <w:szCs w:val="18"/>
              </w:rPr>
            </w:pPr>
            <w:r w:rsidRPr="005E496F">
              <w:rPr>
                <w:sz w:val="18"/>
                <w:szCs w:val="18"/>
              </w:rPr>
              <w:t>14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8.3</w:t>
            </w:r>
          </w:p>
        </w:tc>
        <w:tc>
          <w:tcPr>
            <w:tcW w:w="7440" w:type="dxa"/>
            <w:shd w:val="clear" w:color="auto" w:fill="auto"/>
          </w:tcPr>
          <w:p w:rsidR="00CA3641" w:rsidRDefault="00CA3641" w:rsidP="00CA3641">
            <w:r w:rsidRPr="001829E9">
              <w:rPr>
                <w:sz w:val="18"/>
                <w:szCs w:val="18"/>
              </w:rPr>
              <w:t>Consumer Price Index N</w:t>
            </w:r>
            <w:r>
              <w:rPr>
                <w:sz w:val="18"/>
                <w:szCs w:val="18"/>
              </w:rPr>
              <w:t>umbers by Commodity Groups (Ru</w:t>
            </w:r>
            <w:r w:rsidRPr="001829E9">
              <w:rPr>
                <w:sz w:val="18"/>
                <w:szCs w:val="18"/>
              </w:rPr>
              <w:t>ra</w:t>
            </w:r>
            <w:r>
              <w:rPr>
                <w:sz w:val="18"/>
                <w:szCs w:val="18"/>
              </w:rPr>
              <w:t>l</w:t>
            </w:r>
            <w:r w:rsidRPr="001829E9">
              <w:rPr>
                <w:sz w:val="18"/>
                <w:szCs w:val="18"/>
              </w:rPr>
              <w:t xml:space="preserve">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Index Numbers of Wholesale P</w:t>
            </w:r>
            <w:r w:rsidRPr="008B5F52">
              <w:rPr>
                <w:sz w:val="18"/>
                <w:szCs w:val="18"/>
              </w:rPr>
              <w:t>rices by Commodity Groups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Sensitive Price Indicator (SPI) by Income Groups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50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Commodity Prices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51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</w:rPr>
            </w:pPr>
            <w:r w:rsidRPr="008B5F52">
              <w:rPr>
                <w:b/>
              </w:rPr>
              <w:t>9. Manufacturing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9.1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Production of Selected Manufactured Goods, Minerals and Electricity Generation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9.2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Quant</w:t>
            </w:r>
            <w:r w:rsidR="002D4B12">
              <w:rPr>
                <w:sz w:val="18"/>
                <w:szCs w:val="18"/>
              </w:rPr>
              <w:t>um Index Numbers of Large Scale</w:t>
            </w:r>
            <w:r w:rsidRPr="008B5F52">
              <w:rPr>
                <w:sz w:val="18"/>
                <w:szCs w:val="18"/>
              </w:rPr>
              <w:t xml:space="preserve"> Manufacturing Industries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</w:rPr>
            </w:pPr>
            <w:r w:rsidRPr="008B5F52">
              <w:rPr>
                <w:b/>
              </w:rPr>
              <w:t>10. Public Finance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A7111A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Consolidated Fiscal Operations (Federal </w:t>
            </w:r>
            <w:r w:rsidR="00A7111A">
              <w:rPr>
                <w:sz w:val="18"/>
                <w:szCs w:val="18"/>
              </w:rPr>
              <w:t>and</w:t>
            </w:r>
            <w:r w:rsidRPr="008B5F52">
              <w:rPr>
                <w:sz w:val="18"/>
                <w:szCs w:val="18"/>
              </w:rPr>
              <w:t xml:space="preserve"> Provincial)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Federal Government Revenue Receipts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Federal Government Expenditure and Lending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60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Federal Board of Revenue Tax Collection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61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</w:rPr>
            </w:pPr>
            <w:r w:rsidRPr="008B5F52">
              <w:rPr>
                <w:b/>
              </w:rPr>
              <w:t>11</w:t>
            </w:r>
            <w:r w:rsidRPr="00BB0A97">
              <w:rPr>
                <w:b/>
              </w:rPr>
              <w:t xml:space="preserve">. National </w:t>
            </w:r>
            <w:r w:rsidR="00B91E66">
              <w:rPr>
                <w:b/>
              </w:rPr>
              <w:t xml:space="preserve">Income </w:t>
            </w:r>
            <w:r w:rsidRPr="00BB0A97">
              <w:rPr>
                <w:b/>
              </w:rPr>
              <w:t>Accounts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Gross National Income 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Expenditure on Gross Domestic Product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Gross Fixed Capital Formation 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Area, Production and Yield of important Crops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Quantum Index Numbers of Major Agricultural Crops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b/>
                <w:sz w:val="16"/>
              </w:rPr>
            </w:pPr>
          </w:p>
        </w:tc>
        <w:tc>
          <w:tcPr>
            <w:tcW w:w="7980" w:type="dxa"/>
            <w:gridSpan w:val="2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</w:rPr>
            </w:pPr>
            <w:r w:rsidRPr="008B5F52">
              <w:rPr>
                <w:b/>
                <w:sz w:val="16"/>
              </w:rPr>
              <w:t>Glossary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604662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  <w:r w:rsidR="00CA3641" w:rsidRPr="008B5F52">
              <w:rPr>
                <w:sz w:val="18"/>
                <w:szCs w:val="18"/>
              </w:rPr>
              <w:t>-</w:t>
            </w:r>
            <w:r w:rsidR="00CA3641">
              <w:rPr>
                <w:sz w:val="18"/>
                <w:szCs w:val="18"/>
              </w:rPr>
              <w:t>1</w:t>
            </w:r>
            <w:r w:rsidR="000B5E20">
              <w:rPr>
                <w:sz w:val="18"/>
                <w:szCs w:val="18"/>
              </w:rPr>
              <w:t>79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b/>
                <w:sz w:val="16"/>
              </w:rPr>
            </w:pPr>
          </w:p>
        </w:tc>
        <w:tc>
          <w:tcPr>
            <w:tcW w:w="7980" w:type="dxa"/>
            <w:gridSpan w:val="2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</w:rPr>
            </w:pPr>
            <w:r w:rsidRPr="008B5F52">
              <w:rPr>
                <w:b/>
                <w:sz w:val="16"/>
              </w:rPr>
              <w:t>Feedback Form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Default="00CA3641" w:rsidP="00602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0B5E20">
              <w:rPr>
                <w:sz w:val="18"/>
                <w:szCs w:val="18"/>
              </w:rPr>
              <w:t>0</w:t>
            </w:r>
            <w:r w:rsidRPr="008B5F5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18</w:t>
            </w:r>
            <w:r w:rsidR="000B5E20">
              <w:rPr>
                <w:sz w:val="18"/>
                <w:szCs w:val="18"/>
              </w:rPr>
              <w:t>1</w:t>
            </w:r>
          </w:p>
          <w:p w:rsidR="000B5E20" w:rsidRPr="008B5F52" w:rsidRDefault="000B5E20" w:rsidP="000B5E20">
            <w:pPr>
              <w:jc w:val="center"/>
              <w:rPr>
                <w:sz w:val="18"/>
                <w:szCs w:val="18"/>
              </w:rPr>
            </w:pPr>
          </w:p>
        </w:tc>
      </w:tr>
    </w:tbl>
    <w:p w:rsidR="007E10BD" w:rsidRDefault="007E10BD"/>
    <w:p w:rsidR="00806A2D" w:rsidRPr="00D73095" w:rsidRDefault="00806A2D"/>
    <w:tbl>
      <w:tblPr>
        <w:tblpPr w:leftFromText="180" w:rightFromText="180" w:vertAnchor="page" w:horzAnchor="margin" w:tblpXSpec="center" w:tblpY="1178"/>
        <w:tblW w:w="9090" w:type="dxa"/>
        <w:tblLook w:val="04A0" w:firstRow="1" w:lastRow="0" w:firstColumn="1" w:lastColumn="0" w:noHBand="0" w:noVBand="1"/>
      </w:tblPr>
      <w:tblGrid>
        <w:gridCol w:w="1098"/>
        <w:gridCol w:w="7290"/>
        <w:gridCol w:w="702"/>
      </w:tblGrid>
      <w:tr w:rsidR="00FC24C9" w:rsidRPr="00D73095" w:rsidTr="00FC24C9">
        <w:trPr>
          <w:trHeight w:val="300"/>
        </w:trPr>
        <w:tc>
          <w:tcPr>
            <w:tcW w:w="9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4C9" w:rsidRPr="00D73095" w:rsidRDefault="00FC24C9" w:rsidP="00FC24C9">
            <w:pPr>
              <w:jc w:val="center"/>
              <w:rPr>
                <w:b/>
                <w:bCs/>
                <w:u w:val="single"/>
              </w:rPr>
            </w:pPr>
            <w:r w:rsidRPr="00D73095">
              <w:rPr>
                <w:b/>
                <w:bCs/>
                <w:u w:val="single"/>
              </w:rPr>
              <w:t>NOTES, SYMBOLS AND ABBREVIATIONS</w:t>
            </w:r>
          </w:p>
        </w:tc>
      </w:tr>
      <w:tr w:rsidR="00FC24C9" w:rsidRPr="00D73095" w:rsidTr="00FC24C9">
        <w:trPr>
          <w:trHeight w:val="180"/>
        </w:trPr>
        <w:tc>
          <w:tcPr>
            <w:tcW w:w="9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4C9" w:rsidRPr="00D73095" w:rsidRDefault="00FC24C9" w:rsidP="00FC24C9">
            <w:pPr>
              <w:rPr>
                <w:b/>
                <w:bCs/>
              </w:rPr>
            </w:pPr>
          </w:p>
        </w:tc>
      </w:tr>
      <w:tr w:rsidR="00475F3B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F3B" w:rsidRPr="00D73095" w:rsidRDefault="00475F3B" w:rsidP="00475F3B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F3B" w:rsidRPr="00D73095" w:rsidRDefault="00475F3B" w:rsidP="00475F3B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Provisional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F3B" w:rsidRPr="00D73095" w:rsidRDefault="00475F3B" w:rsidP="00475F3B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Estimated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Revised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Cs/>
                <w:sz w:val="18"/>
                <w:szCs w:val="18"/>
              </w:rPr>
            </w:pPr>
            <w:r w:rsidRPr="00D7309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NIL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Cs/>
                <w:sz w:val="18"/>
                <w:szCs w:val="18"/>
              </w:rPr>
            </w:pPr>
            <w:r w:rsidRPr="00D73095">
              <w:rPr>
                <w:bCs/>
                <w:sz w:val="18"/>
                <w:szCs w:val="18"/>
              </w:rPr>
              <w:t xml:space="preserve">-- 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Cs/>
                <w:sz w:val="18"/>
                <w:szCs w:val="18"/>
              </w:rPr>
            </w:pPr>
            <w:r w:rsidRPr="00D73095">
              <w:rPr>
                <w:bCs/>
                <w:sz w:val="18"/>
                <w:szCs w:val="18"/>
              </w:rPr>
              <w:t>Not Applicable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..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Negligible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...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Not </w:t>
            </w:r>
            <w:r w:rsidRPr="00D73095">
              <w:rPr>
                <w:sz w:val="18"/>
                <w:szCs w:val="18"/>
              </w:rPr>
              <w:t>Available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D73095">
              <w:rPr>
                <w:b/>
                <w:bCs/>
                <w:sz w:val="18"/>
                <w:szCs w:val="18"/>
              </w:rPr>
              <w:t>n.i.e</w:t>
            </w:r>
            <w:proofErr w:type="spellEnd"/>
            <w:r w:rsidRPr="00D7309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Not Included </w:t>
            </w:r>
            <w:r w:rsidRPr="00D73095">
              <w:rPr>
                <w:sz w:val="18"/>
                <w:szCs w:val="18"/>
              </w:rPr>
              <w:t>Elsewhere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037949" w:rsidRPr="00D73095" w:rsidTr="00037949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14BD" w:rsidRDefault="006C14BD" w:rsidP="00037949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Aj&amp;K</w:t>
            </w:r>
            <w:proofErr w:type="spellEnd"/>
          </w:p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CAA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14BD" w:rsidRDefault="006C14BD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Azad Jammu and Kashmir</w:t>
            </w:r>
          </w:p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Civil Aviation </w:t>
            </w:r>
            <w:r w:rsidRPr="00D73095">
              <w:rPr>
                <w:sz w:val="18"/>
                <w:szCs w:val="18"/>
              </w:rPr>
              <w:t>Authority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Cs/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CY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Calendar </w:t>
            </w:r>
            <w:r w:rsidRPr="00D73095">
              <w:rPr>
                <w:sz w:val="18"/>
                <w:szCs w:val="18"/>
              </w:rPr>
              <w:t>Year refers to the period from 1</w:t>
            </w:r>
            <w:r w:rsidRPr="00D73095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January to </w:t>
            </w:r>
            <w:r w:rsidRPr="00D73095">
              <w:rPr>
                <w:sz w:val="18"/>
                <w:szCs w:val="18"/>
              </w:rPr>
              <w:t>31</w:t>
            </w:r>
            <w:r w:rsidRPr="00D73095">
              <w:rPr>
                <w:sz w:val="18"/>
                <w:szCs w:val="18"/>
                <w:vertAlign w:val="superscript"/>
              </w:rPr>
              <w:t>st</w:t>
            </w:r>
            <w:r w:rsidRPr="00D73095">
              <w:rPr>
                <w:sz w:val="18"/>
                <w:szCs w:val="18"/>
              </w:rPr>
              <w:t xml:space="preserve"> December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3A4E1F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Pr="00D73095" w:rsidRDefault="003A4E1F" w:rsidP="000379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DFIs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Default="003A4E1F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Development Finance Institutions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Pr="00D73095" w:rsidRDefault="003A4E1F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FY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Fiscal Year </w:t>
            </w:r>
            <w:r w:rsidRPr="00D73095">
              <w:rPr>
                <w:sz w:val="18"/>
                <w:szCs w:val="18"/>
              </w:rPr>
              <w:t>refers to the period from 1</w:t>
            </w:r>
            <w:r w:rsidRPr="00D73095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July</w:t>
            </w:r>
            <w:r w:rsidRPr="00D73095">
              <w:rPr>
                <w:sz w:val="18"/>
                <w:szCs w:val="18"/>
              </w:rPr>
              <w:t xml:space="preserve"> to 30</w:t>
            </w:r>
            <w:r w:rsidRPr="00D73095">
              <w:rPr>
                <w:sz w:val="18"/>
                <w:szCs w:val="18"/>
                <w:vertAlign w:val="superscript"/>
              </w:rPr>
              <w:t>th</w:t>
            </w:r>
            <w:r w:rsidRPr="00D73095">
              <w:rPr>
                <w:sz w:val="18"/>
                <w:szCs w:val="18"/>
              </w:rPr>
              <w:t xml:space="preserve"> June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037949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HBFC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House Building Finance Company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IMF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Internati</w:t>
            </w:r>
            <w:r>
              <w:rPr>
                <w:sz w:val="18"/>
                <w:szCs w:val="18"/>
              </w:rPr>
              <w:t xml:space="preserve">onal </w:t>
            </w:r>
            <w:r w:rsidRPr="00D73095">
              <w:rPr>
                <w:sz w:val="18"/>
                <w:szCs w:val="18"/>
              </w:rPr>
              <w:t>Monetary Fund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6D3B34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B34" w:rsidRPr="00D73095" w:rsidRDefault="006D3B34" w:rsidP="000379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ISIC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B34" w:rsidRPr="00D73095" w:rsidRDefault="006D3B34" w:rsidP="00037949">
            <w:pPr>
              <w:rPr>
                <w:sz w:val="18"/>
                <w:szCs w:val="18"/>
              </w:rPr>
            </w:pPr>
            <w:r w:rsidRPr="006D3B34">
              <w:rPr>
                <w:sz w:val="18"/>
                <w:szCs w:val="18"/>
              </w:rPr>
              <w:t>International Standard Industrial Classification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B34" w:rsidRPr="00D73095" w:rsidRDefault="006D3B34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KIBOR</w:t>
            </w:r>
          </w:p>
          <w:p w:rsidR="006C14BD" w:rsidRPr="00D73095" w:rsidRDefault="006C14BD" w:rsidP="000379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KP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Karachi Interbank </w:t>
            </w:r>
            <w:r w:rsidRPr="00D73095">
              <w:rPr>
                <w:sz w:val="18"/>
                <w:szCs w:val="18"/>
              </w:rPr>
              <w:t>Offered Rate</w:t>
            </w:r>
          </w:p>
          <w:p w:rsidR="006C14BD" w:rsidRPr="00D73095" w:rsidRDefault="006C14BD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Khyber Pakhtunkhwa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MFB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4140B9" w:rsidP="0041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Microf</w:t>
            </w:r>
            <w:r w:rsidR="00037949" w:rsidRPr="00D73095">
              <w:rPr>
                <w:sz w:val="18"/>
                <w:szCs w:val="18"/>
              </w:rPr>
              <w:t xml:space="preserve">inance Bank 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3A4E1F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Pr="00D73095" w:rsidRDefault="003A4E1F" w:rsidP="000379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MFI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Pr="00D73095" w:rsidRDefault="003A4E1F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Microfinance  Institutions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Pr="00D73095" w:rsidRDefault="003A4E1F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NBFC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Non</w:t>
            </w:r>
            <w:r>
              <w:rPr>
                <w:sz w:val="18"/>
                <w:szCs w:val="18"/>
              </w:rPr>
              <w:t>-</w:t>
            </w:r>
            <w:r w:rsidRPr="00D73095">
              <w:rPr>
                <w:sz w:val="18"/>
                <w:szCs w:val="18"/>
              </w:rPr>
              <w:t>Bank Financial Company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NHA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National Highway </w:t>
            </w:r>
            <w:r w:rsidRPr="00D73095">
              <w:rPr>
                <w:sz w:val="18"/>
                <w:szCs w:val="18"/>
              </w:rPr>
              <w:t>Authority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NFC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41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National Fertilizer Corporation </w:t>
            </w:r>
            <w:r w:rsidRPr="00D73095">
              <w:rPr>
                <w:sz w:val="18"/>
                <w:szCs w:val="18"/>
              </w:rPr>
              <w:t>(</w:t>
            </w:r>
            <w:proofErr w:type="spellStart"/>
            <w:r w:rsidRPr="00D73095">
              <w:rPr>
                <w:sz w:val="18"/>
                <w:szCs w:val="18"/>
              </w:rPr>
              <w:t>Pvt</w:t>
            </w:r>
            <w:proofErr w:type="spellEnd"/>
            <w:r w:rsidRPr="00D73095">
              <w:rPr>
                <w:sz w:val="18"/>
                <w:szCs w:val="18"/>
              </w:rPr>
              <w:t>).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3A4E1F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Pr="00D73095" w:rsidRDefault="003A4E1F" w:rsidP="000379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NPIs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Default="004140B9" w:rsidP="0041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Non-Profit Institutions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Pr="00D73095" w:rsidRDefault="003A4E1F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OGDCL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Oil and Gas Development Company Ltd.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PBS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4140B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Pakistan Bureau of Statistics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jc w:val="both"/>
              <w:rPr>
                <w:sz w:val="18"/>
                <w:szCs w:val="18"/>
              </w:rPr>
            </w:pPr>
          </w:p>
        </w:tc>
      </w:tr>
      <w:tr w:rsidR="004140B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0B9" w:rsidRPr="00D73095" w:rsidRDefault="004140B9" w:rsidP="000379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PFIs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0B9" w:rsidRDefault="004140B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Participating Financial  Institutions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0B9" w:rsidRPr="00D73095" w:rsidRDefault="004140B9" w:rsidP="00037949">
            <w:pPr>
              <w:jc w:val="both"/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PLS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Profit and Loss Sharing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D030C5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30C5" w:rsidRPr="00D73095" w:rsidRDefault="00D030C5" w:rsidP="000379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PMRC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30C5" w:rsidRPr="00D73095" w:rsidRDefault="00D030C5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Pakistan Mortgage Refinance company</w:t>
            </w:r>
            <w:bookmarkStart w:id="0" w:name="_GoBack"/>
            <w:bookmarkEnd w:id="0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30C5" w:rsidRPr="00D73095" w:rsidRDefault="00D030C5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6D3B34">
        <w:trPr>
          <w:trHeight w:val="317"/>
        </w:trPr>
        <w:tc>
          <w:tcPr>
            <w:tcW w:w="1098" w:type="dxa"/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PPCB</w:t>
            </w:r>
            <w:r w:rsidR="00A0478A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7290" w:type="dxa"/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Punjab </w:t>
            </w:r>
            <w:r w:rsidRPr="00D73095">
              <w:rPr>
                <w:sz w:val="18"/>
                <w:szCs w:val="18"/>
              </w:rPr>
              <w:t>Provincial Co-operative Bank Ltd.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6D3B34">
        <w:trPr>
          <w:trHeight w:val="305"/>
        </w:trPr>
        <w:tc>
          <w:tcPr>
            <w:tcW w:w="1098" w:type="dxa"/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PSX</w:t>
            </w:r>
          </w:p>
        </w:tc>
        <w:tc>
          <w:tcPr>
            <w:tcW w:w="7290" w:type="dxa"/>
            <w:shd w:val="clear" w:color="auto" w:fill="auto"/>
            <w:vAlign w:val="center"/>
            <w:hideMark/>
          </w:tcPr>
          <w:p w:rsidR="00037949" w:rsidRPr="006D3B34" w:rsidRDefault="00037949" w:rsidP="004140B9">
            <w:pPr>
              <w:rPr>
                <w:bCs/>
                <w:sz w:val="18"/>
                <w:szCs w:val="18"/>
              </w:rPr>
            </w:pPr>
            <w:r w:rsidRPr="006D3B34">
              <w:rPr>
                <w:bCs/>
                <w:sz w:val="18"/>
                <w:szCs w:val="18"/>
              </w:rPr>
              <w:t>Pak</w:t>
            </w:r>
            <w:r w:rsidR="00A7111A" w:rsidRPr="006D3B34">
              <w:rPr>
                <w:bCs/>
                <w:sz w:val="18"/>
                <w:szCs w:val="18"/>
              </w:rPr>
              <w:t>istan Stock Exchange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6D3B34">
        <w:trPr>
          <w:trHeight w:val="317"/>
        </w:trPr>
        <w:tc>
          <w:tcPr>
            <w:tcW w:w="1098" w:type="dxa"/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PTCL</w:t>
            </w:r>
          </w:p>
        </w:tc>
        <w:tc>
          <w:tcPr>
            <w:tcW w:w="7290" w:type="dxa"/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Pakistan </w:t>
            </w:r>
            <w:r w:rsidRPr="00D73095">
              <w:rPr>
                <w:sz w:val="18"/>
                <w:szCs w:val="18"/>
              </w:rPr>
              <w:t>Telecommunication Company  Ltd.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6D3B34">
        <w:trPr>
          <w:trHeight w:val="317"/>
        </w:trPr>
        <w:tc>
          <w:tcPr>
            <w:tcW w:w="109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SBP</w:t>
            </w:r>
          </w:p>
        </w:tc>
        <w:tc>
          <w:tcPr>
            <w:tcW w:w="729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State Bank of Pakistan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4140B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SBP</w:t>
            </w:r>
            <w:r w:rsidR="004140B9">
              <w:rPr>
                <w:b/>
                <w:bCs/>
                <w:sz w:val="18"/>
                <w:szCs w:val="18"/>
              </w:rPr>
              <w:t xml:space="preserve"> </w:t>
            </w:r>
            <w:r w:rsidRPr="00D73095">
              <w:rPr>
                <w:b/>
                <w:bCs/>
                <w:sz w:val="18"/>
                <w:szCs w:val="18"/>
              </w:rPr>
              <w:t>BSC</w:t>
            </w:r>
            <w:r w:rsidR="004140B9">
              <w:rPr>
                <w:b/>
                <w:bCs/>
                <w:sz w:val="18"/>
                <w:szCs w:val="18"/>
              </w:rPr>
              <w:t xml:space="preserve"> (Bank)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SBP Banking Services Corporation </w:t>
            </w:r>
            <w:r w:rsidRPr="00D73095">
              <w:rPr>
                <w:sz w:val="18"/>
                <w:szCs w:val="18"/>
              </w:rPr>
              <w:t>(Bank)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SDR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Special </w:t>
            </w:r>
            <w:r w:rsidRPr="00D73095">
              <w:rPr>
                <w:sz w:val="18"/>
                <w:szCs w:val="18"/>
              </w:rPr>
              <w:t>Drawing Rights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WAPDA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Water and Power Development </w:t>
            </w:r>
            <w:r w:rsidRPr="00D73095">
              <w:rPr>
                <w:sz w:val="18"/>
                <w:szCs w:val="18"/>
              </w:rPr>
              <w:t>Authority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ZTBL</w:t>
            </w:r>
          </w:p>
          <w:p w:rsidR="00D030C5" w:rsidRPr="00D73095" w:rsidRDefault="00D030C5" w:rsidP="000379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Default="00037949" w:rsidP="00037949">
            <w:pPr>
              <w:rPr>
                <w:sz w:val="18"/>
                <w:szCs w:val="18"/>
                <w:lang w:val="pt-BR"/>
              </w:rPr>
            </w:pPr>
            <w:r w:rsidRPr="00D73095">
              <w:rPr>
                <w:sz w:val="18"/>
                <w:szCs w:val="18"/>
                <w:lang w:val="pt-BR"/>
              </w:rPr>
              <w:t>Zara</w:t>
            </w:r>
            <w:r>
              <w:rPr>
                <w:sz w:val="18"/>
                <w:szCs w:val="18"/>
                <w:lang w:val="pt-BR"/>
              </w:rPr>
              <w:t xml:space="preserve">i Taraqiati Bank Ltd.(Formally </w:t>
            </w:r>
            <w:r w:rsidRPr="00D73095">
              <w:rPr>
                <w:sz w:val="18"/>
                <w:szCs w:val="18"/>
                <w:lang w:val="pt-BR"/>
              </w:rPr>
              <w:t>ADBP)</w:t>
            </w:r>
          </w:p>
          <w:p w:rsidR="00D030C5" w:rsidRPr="00D73095" w:rsidRDefault="00D030C5" w:rsidP="00037949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</w:tbl>
    <w:p w:rsidR="0033697C" w:rsidRDefault="0033697C"/>
    <w:p w:rsidR="0034007B" w:rsidRDefault="0034007B"/>
    <w:p w:rsidR="006D3B34" w:rsidRDefault="006D3B34">
      <w:r>
        <w:br w:type="page"/>
      </w:r>
    </w:p>
    <w:tbl>
      <w:tblPr>
        <w:tblpPr w:leftFromText="180" w:rightFromText="180" w:vertAnchor="page" w:horzAnchor="margin" w:tblpY="1190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13"/>
        <w:gridCol w:w="179"/>
        <w:gridCol w:w="2318"/>
        <w:gridCol w:w="450"/>
        <w:gridCol w:w="1745"/>
        <w:gridCol w:w="222"/>
        <w:gridCol w:w="1933"/>
      </w:tblGrid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lastRenderedPageBreak/>
              <w:t>CONVERSION</w:t>
            </w:r>
            <w:r w:rsidRPr="00D73095">
              <w:rPr>
                <w:b/>
                <w:sz w:val="24"/>
                <w:u w:val="single"/>
              </w:rPr>
              <w:t xml:space="preserve">  COEFFICIENTS  AND  FACTORS</w:t>
            </w: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b/>
                <w:u w:val="single"/>
              </w:rPr>
            </w:pPr>
            <w:r w:rsidRPr="00D73095">
              <w:rPr>
                <w:b/>
                <w:u w:val="single"/>
              </w:rPr>
              <w:t>Unit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b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British / US</w:t>
            </w:r>
            <w:r w:rsidRPr="00D73095">
              <w:rPr>
                <w:b/>
                <w:u w:val="single"/>
              </w:rPr>
              <w:t xml:space="preserve"> equivalents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b/>
              </w:rPr>
            </w:pPr>
          </w:p>
        </w:tc>
        <w:tc>
          <w:tcPr>
            <w:tcW w:w="1967" w:type="dxa"/>
            <w:gridSpan w:val="2"/>
          </w:tcPr>
          <w:p w:rsidR="006D3B34" w:rsidRPr="00D73095" w:rsidRDefault="006D3B34" w:rsidP="00AF4E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British / US</w:t>
            </w:r>
            <w:r w:rsidRPr="00D73095">
              <w:rPr>
                <w:b/>
                <w:u w:val="single"/>
              </w:rPr>
              <w:t xml:space="preserve"> units</w:t>
            </w:r>
          </w:p>
        </w:tc>
        <w:tc>
          <w:tcPr>
            <w:tcW w:w="1933" w:type="dxa"/>
          </w:tcPr>
          <w:p w:rsidR="006D3B34" w:rsidRPr="00D73095" w:rsidRDefault="006D3B34" w:rsidP="00AF4E37">
            <w:pPr>
              <w:pStyle w:val="Heading2"/>
              <w:rPr>
                <w:color w:val="auto"/>
              </w:rPr>
            </w:pPr>
            <w:r w:rsidRPr="00D73095">
              <w:rPr>
                <w:color w:val="auto"/>
              </w:rPr>
              <w:t>Equivalents</w:t>
            </w: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center"/>
              <w:rPr>
                <w:b/>
              </w:rPr>
            </w:pPr>
            <w:r w:rsidRPr="00D73095">
              <w:rPr>
                <w:b/>
              </w:rPr>
              <w:t>L E N G T H</w:t>
            </w: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 centimeter (cm)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>
              <w:rPr>
                <w:sz w:val="16"/>
              </w:rPr>
              <w:t>0.393701</w:t>
            </w:r>
            <w:r w:rsidRPr="00D73095">
              <w:rPr>
                <w:sz w:val="16"/>
              </w:rPr>
              <w:t xml:space="preserve"> inch (in)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 in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2.54  cm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 meter (m)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3.280840  feet (</w:t>
            </w:r>
            <w:proofErr w:type="spellStart"/>
            <w:r w:rsidRPr="00D73095">
              <w:rPr>
                <w:sz w:val="16"/>
              </w:rPr>
              <w:t>ft</w:t>
            </w:r>
            <w:proofErr w:type="spellEnd"/>
            <w:r w:rsidRPr="00D73095">
              <w:rPr>
                <w:sz w:val="16"/>
              </w:rPr>
              <w:t>)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 </w:t>
            </w:r>
            <w:proofErr w:type="spellStart"/>
            <w:r w:rsidRPr="00D73095">
              <w:rPr>
                <w:sz w:val="16"/>
              </w:rPr>
              <w:t>ft</w:t>
            </w:r>
            <w:proofErr w:type="spellEnd"/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30.48  cm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>
              <w:rPr>
                <w:sz w:val="16"/>
              </w:rPr>
              <w:t xml:space="preserve">1.093613 </w:t>
            </w:r>
            <w:r w:rsidRPr="00D73095">
              <w:rPr>
                <w:sz w:val="16"/>
              </w:rPr>
              <w:t>yards (</w:t>
            </w:r>
            <w:proofErr w:type="spellStart"/>
            <w:r w:rsidRPr="00D73095">
              <w:rPr>
                <w:sz w:val="16"/>
              </w:rPr>
              <w:t>yds</w:t>
            </w:r>
            <w:proofErr w:type="spellEnd"/>
            <w:r w:rsidRPr="00D73095">
              <w:rPr>
                <w:sz w:val="16"/>
              </w:rPr>
              <w:t>)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 </w:t>
            </w:r>
            <w:proofErr w:type="spellStart"/>
            <w:r w:rsidRPr="00D73095">
              <w:rPr>
                <w:sz w:val="16"/>
              </w:rPr>
              <w:t>yd</w:t>
            </w:r>
            <w:proofErr w:type="spellEnd"/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0.9144  m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 kilometer (km)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0.621371 mile (mi)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mile (1760 </w:t>
            </w:r>
            <w:proofErr w:type="spellStart"/>
            <w:r w:rsidRPr="00D73095">
              <w:rPr>
                <w:sz w:val="16"/>
              </w:rPr>
              <w:t>yds</w:t>
            </w:r>
            <w:proofErr w:type="spellEnd"/>
            <w:r w:rsidRPr="00D73095">
              <w:rPr>
                <w:sz w:val="16"/>
              </w:rPr>
              <w:t>)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1.609344 km</w:t>
            </w: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center"/>
              <w:rPr>
                <w:b/>
              </w:rPr>
            </w:pPr>
            <w:r w:rsidRPr="00D73095">
              <w:rPr>
                <w:b/>
              </w:rPr>
              <w:t>A R E A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 square meter (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m)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>
              <w:rPr>
                <w:sz w:val="16"/>
              </w:rPr>
              <w:t>10.763911</w:t>
            </w:r>
            <w:r w:rsidRPr="00D73095">
              <w:rPr>
                <w:sz w:val="16"/>
              </w:rPr>
              <w:t xml:space="preserve"> square feet (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</w:t>
            </w:r>
            <w:proofErr w:type="spellStart"/>
            <w:r w:rsidRPr="00D73095">
              <w:rPr>
                <w:sz w:val="16"/>
              </w:rPr>
              <w:t>ft</w:t>
            </w:r>
            <w:proofErr w:type="spellEnd"/>
            <w:r w:rsidRPr="00D73095">
              <w:rPr>
                <w:sz w:val="16"/>
              </w:rPr>
              <w:t xml:space="preserve">)  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</w:t>
            </w:r>
            <w:proofErr w:type="spellStart"/>
            <w:r w:rsidRPr="00D73095">
              <w:rPr>
                <w:sz w:val="16"/>
              </w:rPr>
              <w:t>yd</w:t>
            </w:r>
            <w:proofErr w:type="spellEnd"/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0.836127 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m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>
              <w:rPr>
                <w:sz w:val="16"/>
              </w:rPr>
              <w:t xml:space="preserve">1.195990 </w:t>
            </w:r>
            <w:r w:rsidRPr="00D73095">
              <w:rPr>
                <w:sz w:val="16"/>
              </w:rPr>
              <w:t>square yards (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</w:t>
            </w:r>
            <w:proofErr w:type="spellStart"/>
            <w:r w:rsidRPr="00D73095">
              <w:rPr>
                <w:sz w:val="16"/>
              </w:rPr>
              <w:t>yds</w:t>
            </w:r>
            <w:proofErr w:type="spellEnd"/>
            <w:r w:rsidRPr="00D73095">
              <w:rPr>
                <w:sz w:val="16"/>
              </w:rPr>
              <w:t>)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 hectare (ha)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2.471054 acres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 acre (4840 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</w:t>
            </w:r>
            <w:proofErr w:type="spellStart"/>
            <w:r w:rsidRPr="00D73095">
              <w:rPr>
                <w:sz w:val="16"/>
              </w:rPr>
              <w:t>yds</w:t>
            </w:r>
            <w:proofErr w:type="spellEnd"/>
            <w:r w:rsidRPr="00D73095">
              <w:rPr>
                <w:sz w:val="16"/>
              </w:rPr>
              <w:t>)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0.404686 ha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square kilometer (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km)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0.386102 square mile(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mi)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mile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2.589988 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km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(640 acres)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center"/>
              <w:rPr>
                <w:b/>
              </w:rPr>
            </w:pPr>
            <w:r w:rsidRPr="00D73095">
              <w:rPr>
                <w:b/>
              </w:rPr>
              <w:t>V O L U M E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 cubic centimeter  (cu cm)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>
              <w:rPr>
                <w:sz w:val="16"/>
              </w:rPr>
              <w:t>0.061024</w:t>
            </w:r>
            <w:r w:rsidRPr="00D73095">
              <w:rPr>
                <w:sz w:val="16"/>
              </w:rPr>
              <w:t xml:space="preserve"> cubic inch (cu in)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cu in 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16.387064  cu cm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 cubic meter  (cu m)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>
              <w:rPr>
                <w:sz w:val="16"/>
              </w:rPr>
              <w:t>35.314667</w:t>
            </w:r>
            <w:r w:rsidRPr="00D73095">
              <w:rPr>
                <w:sz w:val="16"/>
              </w:rPr>
              <w:t xml:space="preserve"> cubic feet(cu </w:t>
            </w:r>
            <w:proofErr w:type="spellStart"/>
            <w:r w:rsidRPr="00D73095">
              <w:rPr>
                <w:sz w:val="16"/>
              </w:rPr>
              <w:t>ft</w:t>
            </w:r>
            <w:proofErr w:type="spellEnd"/>
            <w:r w:rsidRPr="00D73095">
              <w:rPr>
                <w:sz w:val="16"/>
              </w:rPr>
              <w:t>)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cu </w:t>
            </w:r>
            <w:proofErr w:type="spellStart"/>
            <w:r w:rsidRPr="00D73095">
              <w:rPr>
                <w:sz w:val="16"/>
              </w:rPr>
              <w:t>ft</w:t>
            </w:r>
            <w:proofErr w:type="spellEnd"/>
            <w:r w:rsidRPr="00D73095">
              <w:rPr>
                <w:sz w:val="16"/>
              </w:rPr>
              <w:t xml:space="preserve"> 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28.316847  cu </w:t>
            </w:r>
            <w:proofErr w:type="spellStart"/>
            <w:r w:rsidRPr="00D73095">
              <w:rPr>
                <w:sz w:val="16"/>
              </w:rPr>
              <w:t>dm</w:t>
            </w:r>
            <w:proofErr w:type="spellEnd"/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>
              <w:rPr>
                <w:sz w:val="16"/>
              </w:rPr>
              <w:t xml:space="preserve">1.307951 </w:t>
            </w:r>
            <w:r w:rsidRPr="00D73095">
              <w:rPr>
                <w:sz w:val="16"/>
              </w:rPr>
              <w:t xml:space="preserve">cubic yards (cu </w:t>
            </w:r>
            <w:proofErr w:type="spellStart"/>
            <w:r w:rsidRPr="00D73095">
              <w:rPr>
                <w:sz w:val="16"/>
              </w:rPr>
              <w:t>yds</w:t>
            </w:r>
            <w:proofErr w:type="spellEnd"/>
            <w:r w:rsidRPr="00D73095">
              <w:rPr>
                <w:sz w:val="16"/>
              </w:rPr>
              <w:t>)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cu </w:t>
            </w:r>
            <w:proofErr w:type="spellStart"/>
            <w:r w:rsidRPr="00D73095">
              <w:rPr>
                <w:sz w:val="16"/>
              </w:rPr>
              <w:t>yd</w:t>
            </w:r>
            <w:proofErr w:type="spellEnd"/>
            <w:r w:rsidRPr="00D73095">
              <w:rPr>
                <w:sz w:val="16"/>
              </w:rPr>
              <w:t xml:space="preserve"> 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0.764555 cu m</w:t>
            </w: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center"/>
              <w:rPr>
                <w:b/>
              </w:rPr>
            </w:pPr>
            <w:r w:rsidRPr="00D73095">
              <w:rPr>
                <w:b/>
              </w:rPr>
              <w:t>W E I G H T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1   ton - tone (t)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1.102311 </w:t>
            </w:r>
            <w:r w:rsidRPr="00D73095">
              <w:rPr>
                <w:sz w:val="16"/>
                <w:szCs w:val="16"/>
              </w:rPr>
              <w:t>short  tons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 w:rsidRPr="00D73095">
              <w:rPr>
                <w:sz w:val="16"/>
                <w:szCs w:val="16"/>
              </w:rPr>
              <w:t xml:space="preserve">short ton (2000 </w:t>
            </w:r>
            <w:proofErr w:type="spellStart"/>
            <w:r w:rsidRPr="00D73095">
              <w:rPr>
                <w:sz w:val="16"/>
                <w:szCs w:val="16"/>
              </w:rPr>
              <w:t>lb</w:t>
            </w:r>
            <w:proofErr w:type="spellEnd"/>
            <w:r w:rsidRPr="00D73095">
              <w:rPr>
                <w:sz w:val="16"/>
                <w:szCs w:val="16"/>
              </w:rPr>
              <w:t>)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0.907185  t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0.984207 long  ton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D73095">
              <w:rPr>
                <w:sz w:val="16"/>
                <w:szCs w:val="16"/>
              </w:rPr>
              <w:t xml:space="preserve"> long ton (2240 </w:t>
            </w:r>
            <w:proofErr w:type="spellStart"/>
            <w:r w:rsidRPr="00D73095">
              <w:rPr>
                <w:sz w:val="16"/>
                <w:szCs w:val="16"/>
              </w:rPr>
              <w:t>lb</w:t>
            </w:r>
            <w:proofErr w:type="spellEnd"/>
            <w:r w:rsidRPr="00D73095">
              <w:rPr>
                <w:sz w:val="16"/>
                <w:szCs w:val="16"/>
              </w:rPr>
              <w:t>)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1.016047  t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1  kilogram  (kg)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2.204623 </w:t>
            </w:r>
            <w:r w:rsidRPr="00D73095">
              <w:rPr>
                <w:sz w:val="16"/>
                <w:szCs w:val="16"/>
              </w:rPr>
              <w:t>pounds (</w:t>
            </w:r>
            <w:proofErr w:type="spellStart"/>
            <w:r w:rsidRPr="00D73095">
              <w:rPr>
                <w:sz w:val="16"/>
                <w:szCs w:val="16"/>
              </w:rPr>
              <w:t>lbs</w:t>
            </w:r>
            <w:proofErr w:type="spellEnd"/>
            <w:r w:rsidRPr="00D73095">
              <w:rPr>
                <w:sz w:val="16"/>
                <w:szCs w:val="16"/>
              </w:rPr>
              <w:t>)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 xml:space="preserve">1  </w:t>
            </w:r>
            <w:proofErr w:type="spellStart"/>
            <w:r w:rsidRPr="00D73095">
              <w:rPr>
                <w:sz w:val="16"/>
                <w:szCs w:val="16"/>
              </w:rPr>
              <w:t>lbs</w:t>
            </w:r>
            <w:proofErr w:type="spellEnd"/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0.453592  kg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1.071692</w:t>
            </w:r>
            <w:r w:rsidRPr="00D73095">
              <w:rPr>
                <w:sz w:val="16"/>
                <w:szCs w:val="16"/>
              </w:rPr>
              <w:t xml:space="preserve"> seers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 xml:space="preserve">1 </w:t>
            </w:r>
            <w:proofErr w:type="spellStart"/>
            <w:r w:rsidRPr="00D73095">
              <w:rPr>
                <w:sz w:val="16"/>
                <w:szCs w:val="16"/>
              </w:rPr>
              <w:t>Tola</w:t>
            </w:r>
            <w:proofErr w:type="spellEnd"/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11.6638125 gm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1  gram  (gm)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0.035274 </w:t>
            </w:r>
            <w:r w:rsidRPr="00D73095">
              <w:rPr>
                <w:sz w:val="16"/>
                <w:szCs w:val="16"/>
              </w:rPr>
              <w:t>ounce (</w:t>
            </w:r>
            <w:proofErr w:type="spellStart"/>
            <w:r w:rsidRPr="00D73095">
              <w:rPr>
                <w:sz w:val="16"/>
                <w:szCs w:val="16"/>
              </w:rPr>
              <w:t>oz</w:t>
            </w:r>
            <w:proofErr w:type="spellEnd"/>
            <w:r w:rsidRPr="00D73095">
              <w:rPr>
                <w:sz w:val="16"/>
                <w:szCs w:val="16"/>
              </w:rPr>
              <w:t>)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 xml:space="preserve">1  </w:t>
            </w:r>
            <w:proofErr w:type="spellStart"/>
            <w:r w:rsidRPr="00D73095">
              <w:rPr>
                <w:sz w:val="16"/>
                <w:szCs w:val="16"/>
              </w:rPr>
              <w:t>oz</w:t>
            </w:r>
            <w:proofErr w:type="spellEnd"/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28.349523  gm</w:t>
            </w: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right"/>
              <w:rPr>
                <w:sz w:val="18"/>
              </w:rPr>
            </w:pP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center"/>
              <w:rPr>
                <w:b/>
              </w:rPr>
            </w:pPr>
            <w:r w:rsidRPr="00D73095">
              <w:rPr>
                <w:b/>
              </w:rPr>
              <w:t>C A P A C I T Y</w:t>
            </w: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right"/>
              <w:rPr>
                <w:sz w:val="24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 liter (l)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>
              <w:rPr>
                <w:sz w:val="16"/>
              </w:rPr>
              <w:t>0.879877 imperial</w:t>
            </w:r>
            <w:r w:rsidRPr="00D73095">
              <w:rPr>
                <w:sz w:val="16"/>
              </w:rPr>
              <w:t xml:space="preserve"> quart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</w:t>
            </w:r>
            <w:r>
              <w:rPr>
                <w:sz w:val="16"/>
              </w:rPr>
              <w:t xml:space="preserve"> imperial</w:t>
            </w:r>
            <w:r w:rsidRPr="00D73095">
              <w:rPr>
                <w:sz w:val="16"/>
              </w:rPr>
              <w:t xml:space="preserve">  quart 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1.136523  lite</w:t>
            </w:r>
            <w:r>
              <w:rPr>
                <w:sz w:val="16"/>
              </w:rPr>
              <w:t>rs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1.056688  US liquid quarts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US liquid quart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0.946353  liter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0.908083  US dry quart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US dry quart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1.101221  liters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Imperial gallon (gal)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4.546092  liters</w:t>
            </w:r>
          </w:p>
        </w:tc>
      </w:tr>
      <w:tr w:rsidR="006D3B34" w:rsidRPr="00D73095" w:rsidTr="00AF4E37">
        <w:trPr>
          <w:trHeight w:hRule="exact" w:val="180"/>
        </w:trPr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US gallon 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3.785412  liters</w:t>
            </w:r>
          </w:p>
        </w:tc>
      </w:tr>
      <w:tr w:rsidR="006D3B34" w:rsidRPr="00D73095" w:rsidTr="00AF4E37">
        <w:trPr>
          <w:trHeight w:hRule="exact" w:val="180"/>
        </w:trPr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imp Gallon</w:t>
            </w:r>
          </w:p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4 imp quarts</w:t>
            </w:r>
          </w:p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Pint</w:t>
            </w:r>
          </w:p>
          <w:p w:rsidR="006D3B34" w:rsidRPr="00D73095" w:rsidRDefault="006D3B34" w:rsidP="00AF4E37">
            <w:pPr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0.568261  liter</w:t>
            </w:r>
          </w:p>
          <w:p w:rsidR="006D3B34" w:rsidRPr="00D73095" w:rsidRDefault="006D3B34" w:rsidP="00AF4E37">
            <w:pPr>
              <w:rPr>
                <w:sz w:val="16"/>
              </w:rPr>
            </w:pPr>
          </w:p>
        </w:tc>
      </w:tr>
      <w:tr w:rsidR="006D3B34" w:rsidRPr="00D73095" w:rsidTr="00AF4E37">
        <w:trPr>
          <w:trHeight w:hRule="exact" w:val="180"/>
        </w:trPr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8 Pints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 Bale  (Cotton)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170.09711  kilograms  or  375 lbs.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</w:tbl>
    <w:p w:rsidR="001C4DCC" w:rsidRDefault="001C4DCC"/>
    <w:p w:rsidR="00C75F23" w:rsidRDefault="00C75F23"/>
    <w:p w:rsidR="007E10BD" w:rsidRDefault="007E10BD"/>
    <w:p w:rsidR="001C4DCC" w:rsidRDefault="001C4DCC"/>
    <w:p w:rsidR="0034007B" w:rsidRDefault="0034007B"/>
    <w:p w:rsidR="0034007B" w:rsidRDefault="0034007B"/>
    <w:p w:rsidR="0034007B" w:rsidRDefault="0034007B"/>
    <w:p w:rsidR="0033697C" w:rsidRPr="007B1F97" w:rsidRDefault="0033697C" w:rsidP="009F674D"/>
    <w:sectPr w:rsidR="0033697C" w:rsidRPr="007B1F97" w:rsidSect="00F82E1E">
      <w:footerReference w:type="even" r:id="rId9"/>
      <w:footerReference w:type="default" r:id="rId10"/>
      <w:pgSz w:w="12240" w:h="15840" w:code="1"/>
      <w:pgMar w:top="720" w:right="1440" w:bottom="432" w:left="144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0CD" w:rsidRDefault="00E760CD">
      <w:r>
        <w:separator/>
      </w:r>
    </w:p>
  </w:endnote>
  <w:endnote w:type="continuationSeparator" w:id="0">
    <w:p w:rsidR="00E760CD" w:rsidRDefault="00E76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E1F" w:rsidRDefault="003A4E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3A4E1F" w:rsidRDefault="003A4E1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E1F" w:rsidRDefault="003A4E1F">
    <w:pPr>
      <w:pStyle w:val="Footer"/>
      <w:jc w:val="center"/>
    </w:pPr>
  </w:p>
  <w:p w:rsidR="003A4E1F" w:rsidRDefault="003A4E1F" w:rsidP="00A4670C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0CD" w:rsidRDefault="00E760CD">
      <w:r>
        <w:separator/>
      </w:r>
    </w:p>
  </w:footnote>
  <w:footnote w:type="continuationSeparator" w:id="0">
    <w:p w:rsidR="00E760CD" w:rsidRDefault="00E76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3FCD"/>
    <w:rsid w:val="00000E22"/>
    <w:rsid w:val="000017C9"/>
    <w:rsid w:val="00005F6F"/>
    <w:rsid w:val="0000744A"/>
    <w:rsid w:val="000112E8"/>
    <w:rsid w:val="00011736"/>
    <w:rsid w:val="000144C3"/>
    <w:rsid w:val="0001481F"/>
    <w:rsid w:val="00015C94"/>
    <w:rsid w:val="00017A3E"/>
    <w:rsid w:val="00021253"/>
    <w:rsid w:val="000212B9"/>
    <w:rsid w:val="0002346B"/>
    <w:rsid w:val="00024751"/>
    <w:rsid w:val="000251B5"/>
    <w:rsid w:val="000300EA"/>
    <w:rsid w:val="0003016B"/>
    <w:rsid w:val="000363C8"/>
    <w:rsid w:val="0003662E"/>
    <w:rsid w:val="00037949"/>
    <w:rsid w:val="00040DC2"/>
    <w:rsid w:val="000415EF"/>
    <w:rsid w:val="00042970"/>
    <w:rsid w:val="00047179"/>
    <w:rsid w:val="0004775F"/>
    <w:rsid w:val="00047E49"/>
    <w:rsid w:val="00051120"/>
    <w:rsid w:val="0005246F"/>
    <w:rsid w:val="00052482"/>
    <w:rsid w:val="00053CB2"/>
    <w:rsid w:val="00053CE0"/>
    <w:rsid w:val="00053DA2"/>
    <w:rsid w:val="00057440"/>
    <w:rsid w:val="0005761F"/>
    <w:rsid w:val="000600F7"/>
    <w:rsid w:val="0006025E"/>
    <w:rsid w:val="000604F1"/>
    <w:rsid w:val="00060725"/>
    <w:rsid w:val="00060747"/>
    <w:rsid w:val="0006252E"/>
    <w:rsid w:val="00062D82"/>
    <w:rsid w:val="0007096C"/>
    <w:rsid w:val="000712A3"/>
    <w:rsid w:val="00072CD5"/>
    <w:rsid w:val="000803DB"/>
    <w:rsid w:val="00080EC4"/>
    <w:rsid w:val="00081F8B"/>
    <w:rsid w:val="000848E7"/>
    <w:rsid w:val="00084C10"/>
    <w:rsid w:val="0009117C"/>
    <w:rsid w:val="000918BF"/>
    <w:rsid w:val="000918DE"/>
    <w:rsid w:val="000933A4"/>
    <w:rsid w:val="00094853"/>
    <w:rsid w:val="00096A0B"/>
    <w:rsid w:val="000A02CC"/>
    <w:rsid w:val="000A06AE"/>
    <w:rsid w:val="000A0CEA"/>
    <w:rsid w:val="000A719E"/>
    <w:rsid w:val="000B2964"/>
    <w:rsid w:val="000B4164"/>
    <w:rsid w:val="000B41FC"/>
    <w:rsid w:val="000B4CF6"/>
    <w:rsid w:val="000B4D1E"/>
    <w:rsid w:val="000B4D74"/>
    <w:rsid w:val="000B5E20"/>
    <w:rsid w:val="000B5FA7"/>
    <w:rsid w:val="000C2619"/>
    <w:rsid w:val="000C32A4"/>
    <w:rsid w:val="000C4B46"/>
    <w:rsid w:val="000C5D58"/>
    <w:rsid w:val="000C6CF3"/>
    <w:rsid w:val="000D1D7D"/>
    <w:rsid w:val="000D35A7"/>
    <w:rsid w:val="000D411E"/>
    <w:rsid w:val="000D7DE9"/>
    <w:rsid w:val="000E1456"/>
    <w:rsid w:val="000E2B0F"/>
    <w:rsid w:val="000E3BAB"/>
    <w:rsid w:val="000E428B"/>
    <w:rsid w:val="000E5273"/>
    <w:rsid w:val="000F557B"/>
    <w:rsid w:val="000F55A5"/>
    <w:rsid w:val="000F55B2"/>
    <w:rsid w:val="000F5A95"/>
    <w:rsid w:val="00103042"/>
    <w:rsid w:val="00103734"/>
    <w:rsid w:val="00107473"/>
    <w:rsid w:val="001128AC"/>
    <w:rsid w:val="001165C8"/>
    <w:rsid w:val="00121C8C"/>
    <w:rsid w:val="00123FC7"/>
    <w:rsid w:val="00124195"/>
    <w:rsid w:val="00131BD4"/>
    <w:rsid w:val="00133A0D"/>
    <w:rsid w:val="001374CE"/>
    <w:rsid w:val="00145390"/>
    <w:rsid w:val="00147472"/>
    <w:rsid w:val="001504D9"/>
    <w:rsid w:val="00150630"/>
    <w:rsid w:val="00151A37"/>
    <w:rsid w:val="001521FF"/>
    <w:rsid w:val="0015446F"/>
    <w:rsid w:val="001555C9"/>
    <w:rsid w:val="001562BB"/>
    <w:rsid w:val="00156AE8"/>
    <w:rsid w:val="001604D2"/>
    <w:rsid w:val="00161FEB"/>
    <w:rsid w:val="001623C5"/>
    <w:rsid w:val="00162A89"/>
    <w:rsid w:val="001630F8"/>
    <w:rsid w:val="00163E56"/>
    <w:rsid w:val="00166801"/>
    <w:rsid w:val="00172C5F"/>
    <w:rsid w:val="00175AAA"/>
    <w:rsid w:val="00175DD8"/>
    <w:rsid w:val="00177438"/>
    <w:rsid w:val="00177E7E"/>
    <w:rsid w:val="00181478"/>
    <w:rsid w:val="00181631"/>
    <w:rsid w:val="00185569"/>
    <w:rsid w:val="0019183D"/>
    <w:rsid w:val="0019218C"/>
    <w:rsid w:val="001930B5"/>
    <w:rsid w:val="00195595"/>
    <w:rsid w:val="0019570F"/>
    <w:rsid w:val="00195E1C"/>
    <w:rsid w:val="001966A9"/>
    <w:rsid w:val="001A0146"/>
    <w:rsid w:val="001A10E4"/>
    <w:rsid w:val="001A1492"/>
    <w:rsid w:val="001A3FCD"/>
    <w:rsid w:val="001A4307"/>
    <w:rsid w:val="001A529A"/>
    <w:rsid w:val="001A5FC0"/>
    <w:rsid w:val="001A7E18"/>
    <w:rsid w:val="001A7FC8"/>
    <w:rsid w:val="001B4918"/>
    <w:rsid w:val="001B59C4"/>
    <w:rsid w:val="001B7302"/>
    <w:rsid w:val="001C159F"/>
    <w:rsid w:val="001C1EEF"/>
    <w:rsid w:val="001C26B5"/>
    <w:rsid w:val="001C381F"/>
    <w:rsid w:val="001C3F62"/>
    <w:rsid w:val="001C4DCC"/>
    <w:rsid w:val="001C4FB6"/>
    <w:rsid w:val="001C51C6"/>
    <w:rsid w:val="001C5E5B"/>
    <w:rsid w:val="001D1485"/>
    <w:rsid w:val="001D236B"/>
    <w:rsid w:val="001D258A"/>
    <w:rsid w:val="001D4FB7"/>
    <w:rsid w:val="001D70D7"/>
    <w:rsid w:val="001E1838"/>
    <w:rsid w:val="001E2071"/>
    <w:rsid w:val="001E2E91"/>
    <w:rsid w:val="001E3157"/>
    <w:rsid w:val="001E3D0C"/>
    <w:rsid w:val="001E5375"/>
    <w:rsid w:val="001E5696"/>
    <w:rsid w:val="001E74E7"/>
    <w:rsid w:val="001F070F"/>
    <w:rsid w:val="001F33E3"/>
    <w:rsid w:val="001F354C"/>
    <w:rsid w:val="001F6308"/>
    <w:rsid w:val="002015A5"/>
    <w:rsid w:val="00202174"/>
    <w:rsid w:val="00203DA9"/>
    <w:rsid w:val="00205020"/>
    <w:rsid w:val="00206F12"/>
    <w:rsid w:val="00210EA6"/>
    <w:rsid w:val="00211365"/>
    <w:rsid w:val="002128DC"/>
    <w:rsid w:val="00214741"/>
    <w:rsid w:val="0022134C"/>
    <w:rsid w:val="0022251B"/>
    <w:rsid w:val="00226133"/>
    <w:rsid w:val="00226F9A"/>
    <w:rsid w:val="00227725"/>
    <w:rsid w:val="00227F37"/>
    <w:rsid w:val="00230DC2"/>
    <w:rsid w:val="002312CE"/>
    <w:rsid w:val="00231FBF"/>
    <w:rsid w:val="002332A9"/>
    <w:rsid w:val="002340F1"/>
    <w:rsid w:val="00234ACA"/>
    <w:rsid w:val="00234B8D"/>
    <w:rsid w:val="002357D6"/>
    <w:rsid w:val="00236FA3"/>
    <w:rsid w:val="0024121B"/>
    <w:rsid w:val="00242506"/>
    <w:rsid w:val="00244CE4"/>
    <w:rsid w:val="00245CA2"/>
    <w:rsid w:val="00245CDD"/>
    <w:rsid w:val="00245E22"/>
    <w:rsid w:val="00247FD3"/>
    <w:rsid w:val="002524E8"/>
    <w:rsid w:val="00252986"/>
    <w:rsid w:val="00253BCD"/>
    <w:rsid w:val="0025423F"/>
    <w:rsid w:val="002554A2"/>
    <w:rsid w:val="002561AA"/>
    <w:rsid w:val="00257A9B"/>
    <w:rsid w:val="00263E2D"/>
    <w:rsid w:val="002640DC"/>
    <w:rsid w:val="002644D1"/>
    <w:rsid w:val="00265F01"/>
    <w:rsid w:val="0026638D"/>
    <w:rsid w:val="002663F1"/>
    <w:rsid w:val="002668DF"/>
    <w:rsid w:val="002704EF"/>
    <w:rsid w:val="002711D5"/>
    <w:rsid w:val="002721A9"/>
    <w:rsid w:val="00272955"/>
    <w:rsid w:val="00273BB9"/>
    <w:rsid w:val="00274323"/>
    <w:rsid w:val="002827FF"/>
    <w:rsid w:val="002840B0"/>
    <w:rsid w:val="00285696"/>
    <w:rsid w:val="002947E7"/>
    <w:rsid w:val="00296324"/>
    <w:rsid w:val="002A099E"/>
    <w:rsid w:val="002A1BE4"/>
    <w:rsid w:val="002A404F"/>
    <w:rsid w:val="002A5BC6"/>
    <w:rsid w:val="002A7EA5"/>
    <w:rsid w:val="002A7FDB"/>
    <w:rsid w:val="002B5006"/>
    <w:rsid w:val="002B7675"/>
    <w:rsid w:val="002C5AC6"/>
    <w:rsid w:val="002C676C"/>
    <w:rsid w:val="002C6B76"/>
    <w:rsid w:val="002C7FE0"/>
    <w:rsid w:val="002D0741"/>
    <w:rsid w:val="002D1D4D"/>
    <w:rsid w:val="002D4509"/>
    <w:rsid w:val="002D4B12"/>
    <w:rsid w:val="002D4D98"/>
    <w:rsid w:val="002D4E78"/>
    <w:rsid w:val="002D6F3B"/>
    <w:rsid w:val="002E0DD0"/>
    <w:rsid w:val="002E3054"/>
    <w:rsid w:val="002E35E6"/>
    <w:rsid w:val="002E67DA"/>
    <w:rsid w:val="002E7E0D"/>
    <w:rsid w:val="002F0DC5"/>
    <w:rsid w:val="002F1059"/>
    <w:rsid w:val="002F303C"/>
    <w:rsid w:val="002F4FC8"/>
    <w:rsid w:val="003000E8"/>
    <w:rsid w:val="003044CF"/>
    <w:rsid w:val="00306787"/>
    <w:rsid w:val="003068CF"/>
    <w:rsid w:val="00310F05"/>
    <w:rsid w:val="0031280A"/>
    <w:rsid w:val="003212B1"/>
    <w:rsid w:val="00322188"/>
    <w:rsid w:val="00322C23"/>
    <w:rsid w:val="003270A0"/>
    <w:rsid w:val="00327C7A"/>
    <w:rsid w:val="00330922"/>
    <w:rsid w:val="00334B33"/>
    <w:rsid w:val="003352F5"/>
    <w:rsid w:val="0033697C"/>
    <w:rsid w:val="00337085"/>
    <w:rsid w:val="0034007B"/>
    <w:rsid w:val="003445C5"/>
    <w:rsid w:val="0034499A"/>
    <w:rsid w:val="00350659"/>
    <w:rsid w:val="00352599"/>
    <w:rsid w:val="003530B2"/>
    <w:rsid w:val="00354A2C"/>
    <w:rsid w:val="00354DA8"/>
    <w:rsid w:val="00357152"/>
    <w:rsid w:val="00357CEF"/>
    <w:rsid w:val="00361337"/>
    <w:rsid w:val="003626B4"/>
    <w:rsid w:val="0036650F"/>
    <w:rsid w:val="00380EB2"/>
    <w:rsid w:val="00381603"/>
    <w:rsid w:val="003860FB"/>
    <w:rsid w:val="00386496"/>
    <w:rsid w:val="00387ECF"/>
    <w:rsid w:val="00390337"/>
    <w:rsid w:val="00391023"/>
    <w:rsid w:val="003914A5"/>
    <w:rsid w:val="00393672"/>
    <w:rsid w:val="00394183"/>
    <w:rsid w:val="00396633"/>
    <w:rsid w:val="0039669D"/>
    <w:rsid w:val="00396FBA"/>
    <w:rsid w:val="0039744E"/>
    <w:rsid w:val="00397C54"/>
    <w:rsid w:val="003A1CC1"/>
    <w:rsid w:val="003A1F79"/>
    <w:rsid w:val="003A20D8"/>
    <w:rsid w:val="003A443F"/>
    <w:rsid w:val="003A4470"/>
    <w:rsid w:val="003A4E1F"/>
    <w:rsid w:val="003A5133"/>
    <w:rsid w:val="003A6DF5"/>
    <w:rsid w:val="003A7722"/>
    <w:rsid w:val="003A7903"/>
    <w:rsid w:val="003A7BA9"/>
    <w:rsid w:val="003B442F"/>
    <w:rsid w:val="003B5D9F"/>
    <w:rsid w:val="003C5084"/>
    <w:rsid w:val="003C6400"/>
    <w:rsid w:val="003C66F7"/>
    <w:rsid w:val="003D2C6E"/>
    <w:rsid w:val="003D3EF5"/>
    <w:rsid w:val="003D5559"/>
    <w:rsid w:val="003D5BA2"/>
    <w:rsid w:val="003D6226"/>
    <w:rsid w:val="003D6B11"/>
    <w:rsid w:val="003E0429"/>
    <w:rsid w:val="003E36CB"/>
    <w:rsid w:val="003E41D6"/>
    <w:rsid w:val="003E47BD"/>
    <w:rsid w:val="003E4855"/>
    <w:rsid w:val="003E70F5"/>
    <w:rsid w:val="003F1073"/>
    <w:rsid w:val="003F350F"/>
    <w:rsid w:val="003F35B2"/>
    <w:rsid w:val="003F362D"/>
    <w:rsid w:val="003F384A"/>
    <w:rsid w:val="003F50EB"/>
    <w:rsid w:val="003F56BE"/>
    <w:rsid w:val="003F6E91"/>
    <w:rsid w:val="003F724C"/>
    <w:rsid w:val="00400E02"/>
    <w:rsid w:val="004018D5"/>
    <w:rsid w:val="00401BC2"/>
    <w:rsid w:val="00402EF8"/>
    <w:rsid w:val="00405FB8"/>
    <w:rsid w:val="004069CA"/>
    <w:rsid w:val="004071DF"/>
    <w:rsid w:val="004140B9"/>
    <w:rsid w:val="0041648B"/>
    <w:rsid w:val="004177E4"/>
    <w:rsid w:val="00420FB9"/>
    <w:rsid w:val="0042151C"/>
    <w:rsid w:val="00422DB0"/>
    <w:rsid w:val="00427039"/>
    <w:rsid w:val="00427933"/>
    <w:rsid w:val="00427AB2"/>
    <w:rsid w:val="004337B5"/>
    <w:rsid w:val="0043387C"/>
    <w:rsid w:val="00435ED2"/>
    <w:rsid w:val="00437536"/>
    <w:rsid w:val="004412C4"/>
    <w:rsid w:val="00442221"/>
    <w:rsid w:val="004425A7"/>
    <w:rsid w:val="00442F5D"/>
    <w:rsid w:val="00444514"/>
    <w:rsid w:val="004447C1"/>
    <w:rsid w:val="004453C1"/>
    <w:rsid w:val="00445E88"/>
    <w:rsid w:val="00451F2E"/>
    <w:rsid w:val="00453C6C"/>
    <w:rsid w:val="0045400F"/>
    <w:rsid w:val="004541A6"/>
    <w:rsid w:val="00454550"/>
    <w:rsid w:val="00457C5E"/>
    <w:rsid w:val="00466E83"/>
    <w:rsid w:val="004673B6"/>
    <w:rsid w:val="00467722"/>
    <w:rsid w:val="00470E1D"/>
    <w:rsid w:val="00472126"/>
    <w:rsid w:val="00473B46"/>
    <w:rsid w:val="00475F3B"/>
    <w:rsid w:val="00484036"/>
    <w:rsid w:val="00485B8F"/>
    <w:rsid w:val="00486FB4"/>
    <w:rsid w:val="0048745A"/>
    <w:rsid w:val="004876BD"/>
    <w:rsid w:val="004951E2"/>
    <w:rsid w:val="00495A5A"/>
    <w:rsid w:val="00496E32"/>
    <w:rsid w:val="00497698"/>
    <w:rsid w:val="004A0C1A"/>
    <w:rsid w:val="004B092C"/>
    <w:rsid w:val="004B1669"/>
    <w:rsid w:val="004B1EAA"/>
    <w:rsid w:val="004B471C"/>
    <w:rsid w:val="004B521C"/>
    <w:rsid w:val="004B5BAB"/>
    <w:rsid w:val="004B6B98"/>
    <w:rsid w:val="004B6DAF"/>
    <w:rsid w:val="004B7197"/>
    <w:rsid w:val="004B78BD"/>
    <w:rsid w:val="004C0241"/>
    <w:rsid w:val="004C19DF"/>
    <w:rsid w:val="004D327F"/>
    <w:rsid w:val="004D38AB"/>
    <w:rsid w:val="004D4B2D"/>
    <w:rsid w:val="004E2DA7"/>
    <w:rsid w:val="004E45C8"/>
    <w:rsid w:val="004F06AE"/>
    <w:rsid w:val="004F08F0"/>
    <w:rsid w:val="004F0B38"/>
    <w:rsid w:val="004F40B9"/>
    <w:rsid w:val="004F4892"/>
    <w:rsid w:val="004F56A7"/>
    <w:rsid w:val="004F67CE"/>
    <w:rsid w:val="005047A8"/>
    <w:rsid w:val="0050488E"/>
    <w:rsid w:val="00507948"/>
    <w:rsid w:val="005103BC"/>
    <w:rsid w:val="005125A0"/>
    <w:rsid w:val="0051376A"/>
    <w:rsid w:val="00514377"/>
    <w:rsid w:val="00514AA8"/>
    <w:rsid w:val="00514DF3"/>
    <w:rsid w:val="00517121"/>
    <w:rsid w:val="0051738D"/>
    <w:rsid w:val="00526B69"/>
    <w:rsid w:val="0052715C"/>
    <w:rsid w:val="00527D88"/>
    <w:rsid w:val="005328CC"/>
    <w:rsid w:val="00532AC6"/>
    <w:rsid w:val="00533E96"/>
    <w:rsid w:val="00536556"/>
    <w:rsid w:val="00540148"/>
    <w:rsid w:val="005419C0"/>
    <w:rsid w:val="00542EBE"/>
    <w:rsid w:val="00543818"/>
    <w:rsid w:val="00543913"/>
    <w:rsid w:val="00550755"/>
    <w:rsid w:val="005560BB"/>
    <w:rsid w:val="005565BF"/>
    <w:rsid w:val="00564F8C"/>
    <w:rsid w:val="005671E1"/>
    <w:rsid w:val="0056729E"/>
    <w:rsid w:val="0056776D"/>
    <w:rsid w:val="00570F3A"/>
    <w:rsid w:val="00575084"/>
    <w:rsid w:val="00577161"/>
    <w:rsid w:val="00581AFC"/>
    <w:rsid w:val="00583BA4"/>
    <w:rsid w:val="0058587C"/>
    <w:rsid w:val="00586DE5"/>
    <w:rsid w:val="00587008"/>
    <w:rsid w:val="0059016D"/>
    <w:rsid w:val="00591652"/>
    <w:rsid w:val="00593C11"/>
    <w:rsid w:val="005952B5"/>
    <w:rsid w:val="005956E8"/>
    <w:rsid w:val="005A25B0"/>
    <w:rsid w:val="005A49ED"/>
    <w:rsid w:val="005A6423"/>
    <w:rsid w:val="005A7187"/>
    <w:rsid w:val="005A7491"/>
    <w:rsid w:val="005A7510"/>
    <w:rsid w:val="005B1B27"/>
    <w:rsid w:val="005B20E3"/>
    <w:rsid w:val="005B5C4F"/>
    <w:rsid w:val="005B612B"/>
    <w:rsid w:val="005C09F1"/>
    <w:rsid w:val="005C4A74"/>
    <w:rsid w:val="005C6E49"/>
    <w:rsid w:val="005D2F64"/>
    <w:rsid w:val="005D5268"/>
    <w:rsid w:val="005D57E2"/>
    <w:rsid w:val="005D719C"/>
    <w:rsid w:val="005D7498"/>
    <w:rsid w:val="005E0D2A"/>
    <w:rsid w:val="005E1DF5"/>
    <w:rsid w:val="005E2C69"/>
    <w:rsid w:val="005E48E6"/>
    <w:rsid w:val="005E496F"/>
    <w:rsid w:val="005F1CF3"/>
    <w:rsid w:val="005F1FA3"/>
    <w:rsid w:val="005F56CF"/>
    <w:rsid w:val="005F6DA6"/>
    <w:rsid w:val="00602296"/>
    <w:rsid w:val="0060252E"/>
    <w:rsid w:val="00602D8E"/>
    <w:rsid w:val="00604662"/>
    <w:rsid w:val="0061237C"/>
    <w:rsid w:val="006137A0"/>
    <w:rsid w:val="006164FC"/>
    <w:rsid w:val="006176FC"/>
    <w:rsid w:val="00627130"/>
    <w:rsid w:val="0062769E"/>
    <w:rsid w:val="00631860"/>
    <w:rsid w:val="00632B50"/>
    <w:rsid w:val="00635C70"/>
    <w:rsid w:val="00636BCC"/>
    <w:rsid w:val="0064240E"/>
    <w:rsid w:val="00642C6F"/>
    <w:rsid w:val="006436CC"/>
    <w:rsid w:val="00644190"/>
    <w:rsid w:val="00644B51"/>
    <w:rsid w:val="00646A2C"/>
    <w:rsid w:val="006476EC"/>
    <w:rsid w:val="006548E7"/>
    <w:rsid w:val="00655AED"/>
    <w:rsid w:val="00655D14"/>
    <w:rsid w:val="006568D3"/>
    <w:rsid w:val="006607AF"/>
    <w:rsid w:val="00661C2D"/>
    <w:rsid w:val="00661F6F"/>
    <w:rsid w:val="006634F1"/>
    <w:rsid w:val="00664219"/>
    <w:rsid w:val="006663F3"/>
    <w:rsid w:val="00666729"/>
    <w:rsid w:val="0068555B"/>
    <w:rsid w:val="00685D0B"/>
    <w:rsid w:val="00690FA5"/>
    <w:rsid w:val="00690FB0"/>
    <w:rsid w:val="006929FF"/>
    <w:rsid w:val="00694D56"/>
    <w:rsid w:val="00696865"/>
    <w:rsid w:val="006A1A11"/>
    <w:rsid w:val="006A354A"/>
    <w:rsid w:val="006A3DBB"/>
    <w:rsid w:val="006A6513"/>
    <w:rsid w:val="006A69F2"/>
    <w:rsid w:val="006A7F17"/>
    <w:rsid w:val="006B1AF7"/>
    <w:rsid w:val="006B5076"/>
    <w:rsid w:val="006B5D72"/>
    <w:rsid w:val="006B67A7"/>
    <w:rsid w:val="006C0CBB"/>
    <w:rsid w:val="006C14BD"/>
    <w:rsid w:val="006C254D"/>
    <w:rsid w:val="006C50E7"/>
    <w:rsid w:val="006D05F8"/>
    <w:rsid w:val="006D0F91"/>
    <w:rsid w:val="006D21B3"/>
    <w:rsid w:val="006D2629"/>
    <w:rsid w:val="006D3B34"/>
    <w:rsid w:val="006D4215"/>
    <w:rsid w:val="006D58F7"/>
    <w:rsid w:val="006E1904"/>
    <w:rsid w:val="006E5AFF"/>
    <w:rsid w:val="006F238F"/>
    <w:rsid w:val="006F358B"/>
    <w:rsid w:val="006F36C8"/>
    <w:rsid w:val="006F3F2C"/>
    <w:rsid w:val="006F4F60"/>
    <w:rsid w:val="006F512B"/>
    <w:rsid w:val="006F5464"/>
    <w:rsid w:val="006F671C"/>
    <w:rsid w:val="006F7DD5"/>
    <w:rsid w:val="007022A0"/>
    <w:rsid w:val="0070274F"/>
    <w:rsid w:val="00703600"/>
    <w:rsid w:val="00703FE5"/>
    <w:rsid w:val="007077D0"/>
    <w:rsid w:val="0071391A"/>
    <w:rsid w:val="0071481E"/>
    <w:rsid w:val="0071506E"/>
    <w:rsid w:val="007219B6"/>
    <w:rsid w:val="00721B27"/>
    <w:rsid w:val="007228FE"/>
    <w:rsid w:val="007240ED"/>
    <w:rsid w:val="00724A87"/>
    <w:rsid w:val="007269DD"/>
    <w:rsid w:val="00730D57"/>
    <w:rsid w:val="00733EFD"/>
    <w:rsid w:val="00733F0D"/>
    <w:rsid w:val="0073471A"/>
    <w:rsid w:val="00735D92"/>
    <w:rsid w:val="00736BF5"/>
    <w:rsid w:val="007400B4"/>
    <w:rsid w:val="00740411"/>
    <w:rsid w:val="00740458"/>
    <w:rsid w:val="00741C9E"/>
    <w:rsid w:val="007433DF"/>
    <w:rsid w:val="00743A2A"/>
    <w:rsid w:val="00744AA1"/>
    <w:rsid w:val="00745460"/>
    <w:rsid w:val="007475C9"/>
    <w:rsid w:val="00753425"/>
    <w:rsid w:val="00755E04"/>
    <w:rsid w:val="00760A7E"/>
    <w:rsid w:val="00761FCD"/>
    <w:rsid w:val="00762456"/>
    <w:rsid w:val="00763FA6"/>
    <w:rsid w:val="0076585A"/>
    <w:rsid w:val="0076655A"/>
    <w:rsid w:val="00770BA7"/>
    <w:rsid w:val="0077359C"/>
    <w:rsid w:val="00775555"/>
    <w:rsid w:val="00775A70"/>
    <w:rsid w:val="0078494D"/>
    <w:rsid w:val="00784A8A"/>
    <w:rsid w:val="007874FC"/>
    <w:rsid w:val="00792D74"/>
    <w:rsid w:val="00793675"/>
    <w:rsid w:val="00795C9D"/>
    <w:rsid w:val="00797C40"/>
    <w:rsid w:val="007A024A"/>
    <w:rsid w:val="007A05C7"/>
    <w:rsid w:val="007A3DDB"/>
    <w:rsid w:val="007A5492"/>
    <w:rsid w:val="007A69DD"/>
    <w:rsid w:val="007A6A14"/>
    <w:rsid w:val="007A762A"/>
    <w:rsid w:val="007B1F97"/>
    <w:rsid w:val="007B4388"/>
    <w:rsid w:val="007B62FD"/>
    <w:rsid w:val="007C078B"/>
    <w:rsid w:val="007C09D8"/>
    <w:rsid w:val="007C32C4"/>
    <w:rsid w:val="007C4C81"/>
    <w:rsid w:val="007C65DD"/>
    <w:rsid w:val="007C705D"/>
    <w:rsid w:val="007D10BF"/>
    <w:rsid w:val="007D1A7E"/>
    <w:rsid w:val="007D650E"/>
    <w:rsid w:val="007D65B2"/>
    <w:rsid w:val="007D738F"/>
    <w:rsid w:val="007E03CD"/>
    <w:rsid w:val="007E0461"/>
    <w:rsid w:val="007E0E6A"/>
    <w:rsid w:val="007E10BD"/>
    <w:rsid w:val="007E7406"/>
    <w:rsid w:val="007F01F2"/>
    <w:rsid w:val="007F07A4"/>
    <w:rsid w:val="007F0EFD"/>
    <w:rsid w:val="007F1274"/>
    <w:rsid w:val="007F12B8"/>
    <w:rsid w:val="007F14CC"/>
    <w:rsid w:val="007F2561"/>
    <w:rsid w:val="007F50E6"/>
    <w:rsid w:val="007F65ED"/>
    <w:rsid w:val="007F742D"/>
    <w:rsid w:val="00800530"/>
    <w:rsid w:val="00802463"/>
    <w:rsid w:val="00806789"/>
    <w:rsid w:val="00806A2D"/>
    <w:rsid w:val="0080745D"/>
    <w:rsid w:val="00810319"/>
    <w:rsid w:val="008105A4"/>
    <w:rsid w:val="008120D5"/>
    <w:rsid w:val="00814A6B"/>
    <w:rsid w:val="00814F61"/>
    <w:rsid w:val="00817264"/>
    <w:rsid w:val="008220C2"/>
    <w:rsid w:val="00822CF8"/>
    <w:rsid w:val="008249FE"/>
    <w:rsid w:val="00830611"/>
    <w:rsid w:val="0083231C"/>
    <w:rsid w:val="00833A94"/>
    <w:rsid w:val="00833EF3"/>
    <w:rsid w:val="008344D0"/>
    <w:rsid w:val="00834DA6"/>
    <w:rsid w:val="00835F71"/>
    <w:rsid w:val="00836C1C"/>
    <w:rsid w:val="00837E02"/>
    <w:rsid w:val="00841776"/>
    <w:rsid w:val="00843250"/>
    <w:rsid w:val="008434DB"/>
    <w:rsid w:val="00844A82"/>
    <w:rsid w:val="008456F1"/>
    <w:rsid w:val="00845F82"/>
    <w:rsid w:val="00847501"/>
    <w:rsid w:val="008504A0"/>
    <w:rsid w:val="00852C25"/>
    <w:rsid w:val="00856A20"/>
    <w:rsid w:val="00857002"/>
    <w:rsid w:val="00860B38"/>
    <w:rsid w:val="00861625"/>
    <w:rsid w:val="008630A1"/>
    <w:rsid w:val="008633AF"/>
    <w:rsid w:val="00863548"/>
    <w:rsid w:val="008721D3"/>
    <w:rsid w:val="0087279B"/>
    <w:rsid w:val="00873091"/>
    <w:rsid w:val="008738FF"/>
    <w:rsid w:val="008750AA"/>
    <w:rsid w:val="00875937"/>
    <w:rsid w:val="008763BD"/>
    <w:rsid w:val="008767EF"/>
    <w:rsid w:val="008772AE"/>
    <w:rsid w:val="00880140"/>
    <w:rsid w:val="008805D5"/>
    <w:rsid w:val="008812ED"/>
    <w:rsid w:val="008817BC"/>
    <w:rsid w:val="00885224"/>
    <w:rsid w:val="008854BB"/>
    <w:rsid w:val="00885A8B"/>
    <w:rsid w:val="00887794"/>
    <w:rsid w:val="008901EB"/>
    <w:rsid w:val="00895487"/>
    <w:rsid w:val="008A1E68"/>
    <w:rsid w:val="008A2B8D"/>
    <w:rsid w:val="008A55DA"/>
    <w:rsid w:val="008A6011"/>
    <w:rsid w:val="008A7303"/>
    <w:rsid w:val="008B31E6"/>
    <w:rsid w:val="008B4ABA"/>
    <w:rsid w:val="008B5F52"/>
    <w:rsid w:val="008B799A"/>
    <w:rsid w:val="008C09FC"/>
    <w:rsid w:val="008C0FCD"/>
    <w:rsid w:val="008C2043"/>
    <w:rsid w:val="008C2072"/>
    <w:rsid w:val="008C3A99"/>
    <w:rsid w:val="008C4728"/>
    <w:rsid w:val="008C4AD4"/>
    <w:rsid w:val="008C70F9"/>
    <w:rsid w:val="008D1755"/>
    <w:rsid w:val="008D7D9F"/>
    <w:rsid w:val="008E0557"/>
    <w:rsid w:val="008E2C5A"/>
    <w:rsid w:val="008E4086"/>
    <w:rsid w:val="008E62F9"/>
    <w:rsid w:val="008F1E5D"/>
    <w:rsid w:val="008F524A"/>
    <w:rsid w:val="008F5B20"/>
    <w:rsid w:val="008F5B67"/>
    <w:rsid w:val="00900F1B"/>
    <w:rsid w:val="009020E1"/>
    <w:rsid w:val="00904835"/>
    <w:rsid w:val="00904EAA"/>
    <w:rsid w:val="0090564A"/>
    <w:rsid w:val="0090593A"/>
    <w:rsid w:val="00905A28"/>
    <w:rsid w:val="00905EAF"/>
    <w:rsid w:val="009075D5"/>
    <w:rsid w:val="00907A84"/>
    <w:rsid w:val="009116D4"/>
    <w:rsid w:val="009138A1"/>
    <w:rsid w:val="009175C3"/>
    <w:rsid w:val="00920D89"/>
    <w:rsid w:val="009214C3"/>
    <w:rsid w:val="009218EC"/>
    <w:rsid w:val="00924279"/>
    <w:rsid w:val="00926AA2"/>
    <w:rsid w:val="009307FF"/>
    <w:rsid w:val="00933A5B"/>
    <w:rsid w:val="00933BB5"/>
    <w:rsid w:val="00933BC0"/>
    <w:rsid w:val="009405D1"/>
    <w:rsid w:val="00940867"/>
    <w:rsid w:val="00941E88"/>
    <w:rsid w:val="0094511F"/>
    <w:rsid w:val="0094559F"/>
    <w:rsid w:val="00946081"/>
    <w:rsid w:val="00950467"/>
    <w:rsid w:val="009523F9"/>
    <w:rsid w:val="00954F6C"/>
    <w:rsid w:val="00957AF6"/>
    <w:rsid w:val="009605C2"/>
    <w:rsid w:val="0096126A"/>
    <w:rsid w:val="00961295"/>
    <w:rsid w:val="00961BC7"/>
    <w:rsid w:val="009650C8"/>
    <w:rsid w:val="00965BA3"/>
    <w:rsid w:val="00965E78"/>
    <w:rsid w:val="00966570"/>
    <w:rsid w:val="009665D1"/>
    <w:rsid w:val="00967371"/>
    <w:rsid w:val="00967C44"/>
    <w:rsid w:val="00970EA9"/>
    <w:rsid w:val="00971389"/>
    <w:rsid w:val="00972221"/>
    <w:rsid w:val="0097263B"/>
    <w:rsid w:val="00975073"/>
    <w:rsid w:val="00975A72"/>
    <w:rsid w:val="009760FD"/>
    <w:rsid w:val="00980015"/>
    <w:rsid w:val="00980543"/>
    <w:rsid w:val="00981EF4"/>
    <w:rsid w:val="00981F1D"/>
    <w:rsid w:val="00983F54"/>
    <w:rsid w:val="00984E7D"/>
    <w:rsid w:val="00985B79"/>
    <w:rsid w:val="00987226"/>
    <w:rsid w:val="009900E0"/>
    <w:rsid w:val="0099027F"/>
    <w:rsid w:val="00991984"/>
    <w:rsid w:val="00994565"/>
    <w:rsid w:val="009A72B8"/>
    <w:rsid w:val="009B3FC3"/>
    <w:rsid w:val="009B4A41"/>
    <w:rsid w:val="009B50AA"/>
    <w:rsid w:val="009B5A7B"/>
    <w:rsid w:val="009B718A"/>
    <w:rsid w:val="009C3B5B"/>
    <w:rsid w:val="009C3B61"/>
    <w:rsid w:val="009C5663"/>
    <w:rsid w:val="009C7D6D"/>
    <w:rsid w:val="009D063A"/>
    <w:rsid w:val="009D0C66"/>
    <w:rsid w:val="009D4BE7"/>
    <w:rsid w:val="009D5A7B"/>
    <w:rsid w:val="009D71BB"/>
    <w:rsid w:val="009E0235"/>
    <w:rsid w:val="009E0ADA"/>
    <w:rsid w:val="009E0CE4"/>
    <w:rsid w:val="009E0F3F"/>
    <w:rsid w:val="009E2BDF"/>
    <w:rsid w:val="009E4421"/>
    <w:rsid w:val="009E5F5C"/>
    <w:rsid w:val="009E6264"/>
    <w:rsid w:val="009E7296"/>
    <w:rsid w:val="009F1911"/>
    <w:rsid w:val="009F53A8"/>
    <w:rsid w:val="009F674D"/>
    <w:rsid w:val="009F6B72"/>
    <w:rsid w:val="00A0249C"/>
    <w:rsid w:val="00A04765"/>
    <w:rsid w:val="00A0478A"/>
    <w:rsid w:val="00A04C62"/>
    <w:rsid w:val="00A1390C"/>
    <w:rsid w:val="00A154BD"/>
    <w:rsid w:val="00A231F7"/>
    <w:rsid w:val="00A23A5E"/>
    <w:rsid w:val="00A30501"/>
    <w:rsid w:val="00A34705"/>
    <w:rsid w:val="00A367BE"/>
    <w:rsid w:val="00A36AFA"/>
    <w:rsid w:val="00A40545"/>
    <w:rsid w:val="00A4099D"/>
    <w:rsid w:val="00A44182"/>
    <w:rsid w:val="00A4670C"/>
    <w:rsid w:val="00A46B6C"/>
    <w:rsid w:val="00A47338"/>
    <w:rsid w:val="00A50AD0"/>
    <w:rsid w:val="00A53A16"/>
    <w:rsid w:val="00A62735"/>
    <w:rsid w:val="00A630AF"/>
    <w:rsid w:val="00A63137"/>
    <w:rsid w:val="00A6407B"/>
    <w:rsid w:val="00A658B6"/>
    <w:rsid w:val="00A65E82"/>
    <w:rsid w:val="00A709F8"/>
    <w:rsid w:val="00A7111A"/>
    <w:rsid w:val="00A739CD"/>
    <w:rsid w:val="00A73B07"/>
    <w:rsid w:val="00A75422"/>
    <w:rsid w:val="00A77FE2"/>
    <w:rsid w:val="00A810CC"/>
    <w:rsid w:val="00A85216"/>
    <w:rsid w:val="00A922CC"/>
    <w:rsid w:val="00A93ABF"/>
    <w:rsid w:val="00A93D4D"/>
    <w:rsid w:val="00A940F5"/>
    <w:rsid w:val="00A94ACF"/>
    <w:rsid w:val="00A95600"/>
    <w:rsid w:val="00A97070"/>
    <w:rsid w:val="00A975CD"/>
    <w:rsid w:val="00AA26A7"/>
    <w:rsid w:val="00AA2C6F"/>
    <w:rsid w:val="00AA2F2D"/>
    <w:rsid w:val="00AA36FA"/>
    <w:rsid w:val="00AA3F54"/>
    <w:rsid w:val="00AA526F"/>
    <w:rsid w:val="00AB0CDC"/>
    <w:rsid w:val="00AB267A"/>
    <w:rsid w:val="00AB2B7E"/>
    <w:rsid w:val="00AB3C06"/>
    <w:rsid w:val="00AB5EE2"/>
    <w:rsid w:val="00AB60BE"/>
    <w:rsid w:val="00AB67F9"/>
    <w:rsid w:val="00AB6AD0"/>
    <w:rsid w:val="00AC191A"/>
    <w:rsid w:val="00AC7F89"/>
    <w:rsid w:val="00AD178C"/>
    <w:rsid w:val="00AD1E34"/>
    <w:rsid w:val="00AD20D6"/>
    <w:rsid w:val="00AD37BD"/>
    <w:rsid w:val="00AD45E2"/>
    <w:rsid w:val="00AE1986"/>
    <w:rsid w:val="00AE3681"/>
    <w:rsid w:val="00AE4E87"/>
    <w:rsid w:val="00AE6378"/>
    <w:rsid w:val="00AE63AD"/>
    <w:rsid w:val="00AE6A28"/>
    <w:rsid w:val="00AE72EB"/>
    <w:rsid w:val="00AE7C2B"/>
    <w:rsid w:val="00AF0CFE"/>
    <w:rsid w:val="00AF1575"/>
    <w:rsid w:val="00AF159C"/>
    <w:rsid w:val="00AF2469"/>
    <w:rsid w:val="00AF30B6"/>
    <w:rsid w:val="00AF6D1B"/>
    <w:rsid w:val="00B03820"/>
    <w:rsid w:val="00B04A30"/>
    <w:rsid w:val="00B06C5E"/>
    <w:rsid w:val="00B074CB"/>
    <w:rsid w:val="00B0789D"/>
    <w:rsid w:val="00B13AC7"/>
    <w:rsid w:val="00B15007"/>
    <w:rsid w:val="00B15FC3"/>
    <w:rsid w:val="00B16A10"/>
    <w:rsid w:val="00B17385"/>
    <w:rsid w:val="00B176F6"/>
    <w:rsid w:val="00B233D5"/>
    <w:rsid w:val="00B25B38"/>
    <w:rsid w:val="00B314AB"/>
    <w:rsid w:val="00B32913"/>
    <w:rsid w:val="00B3298C"/>
    <w:rsid w:val="00B3527C"/>
    <w:rsid w:val="00B35601"/>
    <w:rsid w:val="00B40AA7"/>
    <w:rsid w:val="00B42899"/>
    <w:rsid w:val="00B42C05"/>
    <w:rsid w:val="00B42D29"/>
    <w:rsid w:val="00B4635A"/>
    <w:rsid w:val="00B46860"/>
    <w:rsid w:val="00B47612"/>
    <w:rsid w:val="00B50494"/>
    <w:rsid w:val="00B578A0"/>
    <w:rsid w:val="00B57975"/>
    <w:rsid w:val="00B60237"/>
    <w:rsid w:val="00B63B29"/>
    <w:rsid w:val="00B65285"/>
    <w:rsid w:val="00B65F6E"/>
    <w:rsid w:val="00B66E30"/>
    <w:rsid w:val="00B67004"/>
    <w:rsid w:val="00B70238"/>
    <w:rsid w:val="00B702EC"/>
    <w:rsid w:val="00B71D62"/>
    <w:rsid w:val="00B72128"/>
    <w:rsid w:val="00B72F9B"/>
    <w:rsid w:val="00B740D4"/>
    <w:rsid w:val="00B77415"/>
    <w:rsid w:val="00B80CEA"/>
    <w:rsid w:val="00B83136"/>
    <w:rsid w:val="00B846D9"/>
    <w:rsid w:val="00B85022"/>
    <w:rsid w:val="00B902DE"/>
    <w:rsid w:val="00B91E66"/>
    <w:rsid w:val="00B9230F"/>
    <w:rsid w:val="00B940BE"/>
    <w:rsid w:val="00B94580"/>
    <w:rsid w:val="00B95257"/>
    <w:rsid w:val="00B95EC8"/>
    <w:rsid w:val="00B960F7"/>
    <w:rsid w:val="00BA3A04"/>
    <w:rsid w:val="00BB0A97"/>
    <w:rsid w:val="00BB2824"/>
    <w:rsid w:val="00BB3459"/>
    <w:rsid w:val="00BB3CC4"/>
    <w:rsid w:val="00BB4F30"/>
    <w:rsid w:val="00BC24F3"/>
    <w:rsid w:val="00BC27B4"/>
    <w:rsid w:val="00BC37CF"/>
    <w:rsid w:val="00BC3E20"/>
    <w:rsid w:val="00BC41E5"/>
    <w:rsid w:val="00BC4E1B"/>
    <w:rsid w:val="00BD07CD"/>
    <w:rsid w:val="00BD122F"/>
    <w:rsid w:val="00BD4112"/>
    <w:rsid w:val="00BD52CD"/>
    <w:rsid w:val="00BE775D"/>
    <w:rsid w:val="00BF08C2"/>
    <w:rsid w:val="00BF37AF"/>
    <w:rsid w:val="00BF634D"/>
    <w:rsid w:val="00BF64D7"/>
    <w:rsid w:val="00C00642"/>
    <w:rsid w:val="00C00B2C"/>
    <w:rsid w:val="00C01F08"/>
    <w:rsid w:val="00C0271F"/>
    <w:rsid w:val="00C04CF2"/>
    <w:rsid w:val="00C06432"/>
    <w:rsid w:val="00C13D98"/>
    <w:rsid w:val="00C20D68"/>
    <w:rsid w:val="00C2615A"/>
    <w:rsid w:val="00C2739E"/>
    <w:rsid w:val="00C3302F"/>
    <w:rsid w:val="00C3317E"/>
    <w:rsid w:val="00C335A9"/>
    <w:rsid w:val="00C372DB"/>
    <w:rsid w:val="00C37938"/>
    <w:rsid w:val="00C41330"/>
    <w:rsid w:val="00C423FB"/>
    <w:rsid w:val="00C42D17"/>
    <w:rsid w:val="00C435A0"/>
    <w:rsid w:val="00C54D05"/>
    <w:rsid w:val="00C555E5"/>
    <w:rsid w:val="00C55DDD"/>
    <w:rsid w:val="00C619A0"/>
    <w:rsid w:val="00C6264C"/>
    <w:rsid w:val="00C62B1A"/>
    <w:rsid w:val="00C62CE6"/>
    <w:rsid w:val="00C70570"/>
    <w:rsid w:val="00C71318"/>
    <w:rsid w:val="00C729B2"/>
    <w:rsid w:val="00C7397E"/>
    <w:rsid w:val="00C74347"/>
    <w:rsid w:val="00C744F6"/>
    <w:rsid w:val="00C75F23"/>
    <w:rsid w:val="00C824E3"/>
    <w:rsid w:val="00C83682"/>
    <w:rsid w:val="00C86190"/>
    <w:rsid w:val="00C95C54"/>
    <w:rsid w:val="00CA06C2"/>
    <w:rsid w:val="00CA176B"/>
    <w:rsid w:val="00CA2B97"/>
    <w:rsid w:val="00CA3641"/>
    <w:rsid w:val="00CA5838"/>
    <w:rsid w:val="00CA6E5C"/>
    <w:rsid w:val="00CA7008"/>
    <w:rsid w:val="00CA7B9D"/>
    <w:rsid w:val="00CA7BB9"/>
    <w:rsid w:val="00CB0E3F"/>
    <w:rsid w:val="00CB555C"/>
    <w:rsid w:val="00CB6CB0"/>
    <w:rsid w:val="00CB73F2"/>
    <w:rsid w:val="00CC36FE"/>
    <w:rsid w:val="00CC4B9F"/>
    <w:rsid w:val="00CC6037"/>
    <w:rsid w:val="00CC7277"/>
    <w:rsid w:val="00CC7A4F"/>
    <w:rsid w:val="00CC7DB5"/>
    <w:rsid w:val="00CC7FA9"/>
    <w:rsid w:val="00CD0457"/>
    <w:rsid w:val="00CD130D"/>
    <w:rsid w:val="00CD514F"/>
    <w:rsid w:val="00CD644E"/>
    <w:rsid w:val="00CD7318"/>
    <w:rsid w:val="00CD7C4F"/>
    <w:rsid w:val="00CE3253"/>
    <w:rsid w:val="00CE4869"/>
    <w:rsid w:val="00CE58D0"/>
    <w:rsid w:val="00CF07C2"/>
    <w:rsid w:val="00CF2119"/>
    <w:rsid w:val="00CF264F"/>
    <w:rsid w:val="00CF2F32"/>
    <w:rsid w:val="00CF39E6"/>
    <w:rsid w:val="00CF49DC"/>
    <w:rsid w:val="00CF56E7"/>
    <w:rsid w:val="00CF5E0F"/>
    <w:rsid w:val="00D030C5"/>
    <w:rsid w:val="00D06D47"/>
    <w:rsid w:val="00D10C46"/>
    <w:rsid w:val="00D111EB"/>
    <w:rsid w:val="00D121E1"/>
    <w:rsid w:val="00D144C5"/>
    <w:rsid w:val="00D153CF"/>
    <w:rsid w:val="00D15CAB"/>
    <w:rsid w:val="00D16F7E"/>
    <w:rsid w:val="00D17CA9"/>
    <w:rsid w:val="00D17E50"/>
    <w:rsid w:val="00D2042E"/>
    <w:rsid w:val="00D20B46"/>
    <w:rsid w:val="00D20C09"/>
    <w:rsid w:val="00D235DA"/>
    <w:rsid w:val="00D24789"/>
    <w:rsid w:val="00D24E22"/>
    <w:rsid w:val="00D2692A"/>
    <w:rsid w:val="00D333F4"/>
    <w:rsid w:val="00D3340A"/>
    <w:rsid w:val="00D34612"/>
    <w:rsid w:val="00D34988"/>
    <w:rsid w:val="00D34B4D"/>
    <w:rsid w:val="00D36B98"/>
    <w:rsid w:val="00D36BD2"/>
    <w:rsid w:val="00D37D17"/>
    <w:rsid w:val="00D40373"/>
    <w:rsid w:val="00D4212A"/>
    <w:rsid w:val="00D443C7"/>
    <w:rsid w:val="00D45926"/>
    <w:rsid w:val="00D472EC"/>
    <w:rsid w:val="00D5006E"/>
    <w:rsid w:val="00D51683"/>
    <w:rsid w:val="00D51D3C"/>
    <w:rsid w:val="00D54A76"/>
    <w:rsid w:val="00D55A06"/>
    <w:rsid w:val="00D57C82"/>
    <w:rsid w:val="00D609DE"/>
    <w:rsid w:val="00D62A17"/>
    <w:rsid w:val="00D62AD2"/>
    <w:rsid w:val="00D62BB8"/>
    <w:rsid w:val="00D637B5"/>
    <w:rsid w:val="00D6609E"/>
    <w:rsid w:val="00D70050"/>
    <w:rsid w:val="00D72F71"/>
    <w:rsid w:val="00D73095"/>
    <w:rsid w:val="00D84D4C"/>
    <w:rsid w:val="00D86ADE"/>
    <w:rsid w:val="00D90BA9"/>
    <w:rsid w:val="00D922D9"/>
    <w:rsid w:val="00D92803"/>
    <w:rsid w:val="00D93E80"/>
    <w:rsid w:val="00D941BB"/>
    <w:rsid w:val="00D9436F"/>
    <w:rsid w:val="00D943E3"/>
    <w:rsid w:val="00D94D70"/>
    <w:rsid w:val="00DA00D1"/>
    <w:rsid w:val="00DA29CB"/>
    <w:rsid w:val="00DA497B"/>
    <w:rsid w:val="00DA7BE6"/>
    <w:rsid w:val="00DB0007"/>
    <w:rsid w:val="00DB60B8"/>
    <w:rsid w:val="00DB7FC2"/>
    <w:rsid w:val="00DC0103"/>
    <w:rsid w:val="00DC1795"/>
    <w:rsid w:val="00DC38FF"/>
    <w:rsid w:val="00DC4024"/>
    <w:rsid w:val="00DD0388"/>
    <w:rsid w:val="00DD2B9D"/>
    <w:rsid w:val="00DD52D2"/>
    <w:rsid w:val="00DD7CFF"/>
    <w:rsid w:val="00DE05BA"/>
    <w:rsid w:val="00DE52D0"/>
    <w:rsid w:val="00DE5BC7"/>
    <w:rsid w:val="00DE6CF5"/>
    <w:rsid w:val="00DF0AF7"/>
    <w:rsid w:val="00DF0C4F"/>
    <w:rsid w:val="00DF187E"/>
    <w:rsid w:val="00DF27E6"/>
    <w:rsid w:val="00DF31FC"/>
    <w:rsid w:val="00DF50A4"/>
    <w:rsid w:val="00DF55CB"/>
    <w:rsid w:val="00DF6C5F"/>
    <w:rsid w:val="00E01682"/>
    <w:rsid w:val="00E0587F"/>
    <w:rsid w:val="00E05905"/>
    <w:rsid w:val="00E11111"/>
    <w:rsid w:val="00E11175"/>
    <w:rsid w:val="00E12188"/>
    <w:rsid w:val="00E15AA8"/>
    <w:rsid w:val="00E16299"/>
    <w:rsid w:val="00E16681"/>
    <w:rsid w:val="00E17011"/>
    <w:rsid w:val="00E17D82"/>
    <w:rsid w:val="00E22706"/>
    <w:rsid w:val="00E22A1B"/>
    <w:rsid w:val="00E23855"/>
    <w:rsid w:val="00E23E10"/>
    <w:rsid w:val="00E259F1"/>
    <w:rsid w:val="00E26556"/>
    <w:rsid w:val="00E26608"/>
    <w:rsid w:val="00E266A9"/>
    <w:rsid w:val="00E27A33"/>
    <w:rsid w:val="00E31DB6"/>
    <w:rsid w:val="00E31E29"/>
    <w:rsid w:val="00E32100"/>
    <w:rsid w:val="00E42694"/>
    <w:rsid w:val="00E42B3A"/>
    <w:rsid w:val="00E43791"/>
    <w:rsid w:val="00E50E78"/>
    <w:rsid w:val="00E526C3"/>
    <w:rsid w:val="00E52D52"/>
    <w:rsid w:val="00E53ED1"/>
    <w:rsid w:val="00E56218"/>
    <w:rsid w:val="00E637A0"/>
    <w:rsid w:val="00E63980"/>
    <w:rsid w:val="00E64B45"/>
    <w:rsid w:val="00E65419"/>
    <w:rsid w:val="00E658CB"/>
    <w:rsid w:val="00E65B69"/>
    <w:rsid w:val="00E67861"/>
    <w:rsid w:val="00E70C16"/>
    <w:rsid w:val="00E713B4"/>
    <w:rsid w:val="00E73CC0"/>
    <w:rsid w:val="00E74482"/>
    <w:rsid w:val="00E74D58"/>
    <w:rsid w:val="00E760CD"/>
    <w:rsid w:val="00E76584"/>
    <w:rsid w:val="00E76FBD"/>
    <w:rsid w:val="00E774AA"/>
    <w:rsid w:val="00E81BBE"/>
    <w:rsid w:val="00E822F2"/>
    <w:rsid w:val="00E84697"/>
    <w:rsid w:val="00E85DB9"/>
    <w:rsid w:val="00E86392"/>
    <w:rsid w:val="00E92E69"/>
    <w:rsid w:val="00E9326B"/>
    <w:rsid w:val="00E93AD8"/>
    <w:rsid w:val="00E958B3"/>
    <w:rsid w:val="00E96672"/>
    <w:rsid w:val="00E971A3"/>
    <w:rsid w:val="00EA0FDB"/>
    <w:rsid w:val="00EA1F21"/>
    <w:rsid w:val="00EA2FD7"/>
    <w:rsid w:val="00EA4C5F"/>
    <w:rsid w:val="00EA4DDB"/>
    <w:rsid w:val="00EA719A"/>
    <w:rsid w:val="00EB31BF"/>
    <w:rsid w:val="00EB4DA1"/>
    <w:rsid w:val="00EC09AD"/>
    <w:rsid w:val="00EC2926"/>
    <w:rsid w:val="00EC2A33"/>
    <w:rsid w:val="00EC5C36"/>
    <w:rsid w:val="00EC6F6B"/>
    <w:rsid w:val="00ED1D28"/>
    <w:rsid w:val="00ED51C5"/>
    <w:rsid w:val="00EE0479"/>
    <w:rsid w:val="00EE07F3"/>
    <w:rsid w:val="00EE186B"/>
    <w:rsid w:val="00EE1CFE"/>
    <w:rsid w:val="00EE3515"/>
    <w:rsid w:val="00EF19F4"/>
    <w:rsid w:val="00EF46F4"/>
    <w:rsid w:val="00EF6126"/>
    <w:rsid w:val="00F011E5"/>
    <w:rsid w:val="00F05086"/>
    <w:rsid w:val="00F05AE8"/>
    <w:rsid w:val="00F05DE4"/>
    <w:rsid w:val="00F1038D"/>
    <w:rsid w:val="00F105AE"/>
    <w:rsid w:val="00F10E72"/>
    <w:rsid w:val="00F10F81"/>
    <w:rsid w:val="00F13089"/>
    <w:rsid w:val="00F1618B"/>
    <w:rsid w:val="00F20E8C"/>
    <w:rsid w:val="00F21094"/>
    <w:rsid w:val="00F2168A"/>
    <w:rsid w:val="00F302A4"/>
    <w:rsid w:val="00F358FA"/>
    <w:rsid w:val="00F35D57"/>
    <w:rsid w:val="00F36976"/>
    <w:rsid w:val="00F45C7A"/>
    <w:rsid w:val="00F46573"/>
    <w:rsid w:val="00F476FC"/>
    <w:rsid w:val="00F51C70"/>
    <w:rsid w:val="00F556AA"/>
    <w:rsid w:val="00F5695B"/>
    <w:rsid w:val="00F61CC5"/>
    <w:rsid w:val="00F64B48"/>
    <w:rsid w:val="00F66387"/>
    <w:rsid w:val="00F67936"/>
    <w:rsid w:val="00F7454B"/>
    <w:rsid w:val="00F7637A"/>
    <w:rsid w:val="00F776AF"/>
    <w:rsid w:val="00F8025C"/>
    <w:rsid w:val="00F82E1E"/>
    <w:rsid w:val="00F8451A"/>
    <w:rsid w:val="00F85076"/>
    <w:rsid w:val="00F851CF"/>
    <w:rsid w:val="00F86B46"/>
    <w:rsid w:val="00F86DA5"/>
    <w:rsid w:val="00F86FE9"/>
    <w:rsid w:val="00F875CE"/>
    <w:rsid w:val="00F87602"/>
    <w:rsid w:val="00F92CB9"/>
    <w:rsid w:val="00F96F2F"/>
    <w:rsid w:val="00FA1EA1"/>
    <w:rsid w:val="00FA236D"/>
    <w:rsid w:val="00FA38D7"/>
    <w:rsid w:val="00FA5C65"/>
    <w:rsid w:val="00FA6E6E"/>
    <w:rsid w:val="00FA73E5"/>
    <w:rsid w:val="00FB27AB"/>
    <w:rsid w:val="00FB29B3"/>
    <w:rsid w:val="00FB38DF"/>
    <w:rsid w:val="00FB62F7"/>
    <w:rsid w:val="00FB6595"/>
    <w:rsid w:val="00FC24C9"/>
    <w:rsid w:val="00FC3E39"/>
    <w:rsid w:val="00FD039B"/>
    <w:rsid w:val="00FD0CCA"/>
    <w:rsid w:val="00FD1E8D"/>
    <w:rsid w:val="00FD2582"/>
    <w:rsid w:val="00FD3D05"/>
    <w:rsid w:val="00FD562C"/>
    <w:rsid w:val="00FD6380"/>
    <w:rsid w:val="00FD6859"/>
    <w:rsid w:val="00FD6B54"/>
    <w:rsid w:val="00FD6DE4"/>
    <w:rsid w:val="00FD7B32"/>
    <w:rsid w:val="00FE07BE"/>
    <w:rsid w:val="00FE19FE"/>
    <w:rsid w:val="00FE2AA2"/>
    <w:rsid w:val="00FE7523"/>
    <w:rsid w:val="00FE7AAD"/>
    <w:rsid w:val="00FF38EB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F171CF"/>
  <w15:docId w15:val="{8F990893-39DB-47BF-82B9-5262DEF9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0D8"/>
  </w:style>
  <w:style w:type="paragraph" w:styleId="Heading1">
    <w:name w:val="heading 1"/>
    <w:basedOn w:val="Normal"/>
    <w:next w:val="Normal"/>
    <w:qFormat/>
    <w:rsid w:val="003A20D8"/>
    <w:pPr>
      <w:keepNext/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3A20D8"/>
    <w:pPr>
      <w:keepNext/>
      <w:outlineLvl w:val="1"/>
    </w:pPr>
    <w:rPr>
      <w:b/>
      <w:color w:val="000000"/>
      <w:u w:val="single"/>
    </w:rPr>
  </w:style>
  <w:style w:type="paragraph" w:styleId="Heading3">
    <w:name w:val="heading 3"/>
    <w:basedOn w:val="Normal"/>
    <w:next w:val="Normal"/>
    <w:qFormat/>
    <w:rsid w:val="003A20D8"/>
    <w:pPr>
      <w:keepNext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qFormat/>
    <w:rsid w:val="003A20D8"/>
    <w:pPr>
      <w:keepNext/>
      <w:outlineLvl w:val="3"/>
    </w:pPr>
    <w:rPr>
      <w:b/>
      <w:i/>
      <w:iCs/>
      <w:color w:val="000000"/>
    </w:rPr>
  </w:style>
  <w:style w:type="paragraph" w:styleId="Heading5">
    <w:name w:val="heading 5"/>
    <w:basedOn w:val="Normal"/>
    <w:next w:val="Normal"/>
    <w:qFormat/>
    <w:rsid w:val="003A20D8"/>
    <w:pPr>
      <w:keepNext/>
      <w:outlineLvl w:val="4"/>
    </w:pPr>
    <w:rPr>
      <w:b/>
      <w:bCs/>
      <w:i/>
      <w:iCs/>
      <w:color w:val="000000"/>
      <w:sz w:val="18"/>
    </w:rPr>
  </w:style>
  <w:style w:type="paragraph" w:styleId="Heading6">
    <w:name w:val="heading 6"/>
    <w:basedOn w:val="Normal"/>
    <w:next w:val="Normal"/>
    <w:qFormat/>
    <w:rsid w:val="003A20D8"/>
    <w:pPr>
      <w:keepNext/>
      <w:outlineLvl w:val="5"/>
    </w:pPr>
    <w:rPr>
      <w:b/>
      <w:bCs/>
      <w:color w:val="000000"/>
      <w:sz w:val="18"/>
    </w:rPr>
  </w:style>
  <w:style w:type="paragraph" w:styleId="Heading7">
    <w:name w:val="heading 7"/>
    <w:basedOn w:val="Normal"/>
    <w:next w:val="Normal"/>
    <w:qFormat/>
    <w:rsid w:val="003A20D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3A20D8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3A20D8"/>
    <w:pPr>
      <w:keepNext/>
      <w:jc w:val="center"/>
      <w:outlineLvl w:val="8"/>
    </w:pPr>
    <w:rPr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A20D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A20D8"/>
  </w:style>
  <w:style w:type="paragraph" w:styleId="Header">
    <w:name w:val="header"/>
    <w:basedOn w:val="Normal"/>
    <w:rsid w:val="003A20D8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1D4FB7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24A87"/>
  </w:style>
  <w:style w:type="character" w:styleId="Hyperlink">
    <w:name w:val="Hyperlink"/>
    <w:basedOn w:val="DefaultParagraphFont"/>
    <w:uiPriority w:val="99"/>
    <w:unhideWhenUsed/>
    <w:rsid w:val="00755E04"/>
    <w:rPr>
      <w:color w:val="0000FF"/>
      <w:u w:val="single"/>
    </w:rPr>
  </w:style>
  <w:style w:type="character" w:styleId="FollowedHyperlink">
    <w:name w:val="FollowedHyperlink"/>
    <w:basedOn w:val="DefaultParagraphFont"/>
    <w:rsid w:val="00AB2B7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A7B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BA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D3B34"/>
    <w:rPr>
      <w:b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edback.statistics@sbp.org.p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bp.org.pk/reports/stat_reviews/Bulletin/index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8397A-CCC2-431F-B2A9-B63F5144D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6</Pages>
  <Words>1956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O N T E N T S</vt:lpstr>
    </vt:vector>
  </TitlesOfParts>
  <Company>SBP</Company>
  <LinksUpToDate>false</LinksUpToDate>
  <CharactersWithSpaces>13085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T E N T S</dc:title>
  <dc:creator>Muhammad sajjad Kiani</dc:creator>
  <cp:lastModifiedBy>Haider Ali - Statistics &amp; DWH</cp:lastModifiedBy>
  <cp:revision>66</cp:revision>
  <cp:lastPrinted>2021-01-06T08:57:00Z</cp:lastPrinted>
  <dcterms:created xsi:type="dcterms:W3CDTF">2017-08-23T10:11:00Z</dcterms:created>
  <dcterms:modified xsi:type="dcterms:W3CDTF">2021-12-06T11:58:00Z</dcterms:modified>
</cp:coreProperties>
</file>