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72" w:rsidRPr="006F593A" w:rsidRDefault="00577272" w:rsidP="00837B4D">
      <w:pPr>
        <w:jc w:val="both"/>
        <w:rPr>
          <w:b/>
          <w:sz w:val="32"/>
          <w:u w:val="single"/>
        </w:rPr>
      </w:pPr>
      <w:bookmarkStart w:id="0" w:name="_GoBack"/>
      <w:bookmarkEnd w:id="0"/>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r w:rsidR="004D4FAD" w:rsidRPr="006F593A">
        <w:rPr>
          <w:sz w:val="20"/>
          <w:szCs w:val="20"/>
        </w:rPr>
        <w:t>corporations</w:t>
      </w:r>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CF3544" w:rsidP="00CF3544">
      <w:pPr>
        <w:jc w:val="both"/>
        <w:rPr>
          <w:sz w:val="20"/>
          <w:szCs w:val="20"/>
        </w:rPr>
      </w:pPr>
      <w:r w:rsidRPr="006F593A">
        <w:rPr>
          <w:sz w:val="20"/>
          <w:szCs w:val="20"/>
        </w:rPr>
        <w:t>NBFCs are categorized into eight groups, development finance institutions, leasing companies, investment banks, modarba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i.e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274DB7" w:rsidRDefault="00274DB7"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B84BFC" w:rsidRDefault="006E5768" w:rsidP="00837B4D">
      <w:pPr>
        <w:jc w:val="both"/>
        <w:rPr>
          <w:b/>
          <w:sz w:val="20"/>
          <w:szCs w:val="20"/>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B84BFC" w:rsidRDefault="00B84BFC"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lastRenderedPageBreak/>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274DB7" w:rsidRDefault="00274DB7" w:rsidP="00187E8D">
      <w:pPr>
        <w:ind w:left="450"/>
        <w:jc w:val="both"/>
        <w:rPr>
          <w:b/>
          <w:sz w:val="20"/>
          <w:szCs w:val="20"/>
        </w:rPr>
      </w:pPr>
    </w:p>
    <w:p w:rsidR="00187E8D" w:rsidRPr="00DC6F24" w:rsidRDefault="00187E8D" w:rsidP="00B84BFC">
      <w:pPr>
        <w:ind w:left="288"/>
        <w:jc w:val="both"/>
        <w:rPr>
          <w:b/>
          <w:sz w:val="20"/>
          <w:szCs w:val="20"/>
        </w:rPr>
      </w:pPr>
      <w:r w:rsidRPr="00DC6F24">
        <w:rPr>
          <w:b/>
          <w:sz w:val="20"/>
          <w:szCs w:val="20"/>
        </w:rPr>
        <w:t>Goods</w:t>
      </w:r>
      <w:r w:rsidRPr="00DC6F24">
        <w:rPr>
          <w:b/>
          <w:sz w:val="20"/>
          <w:szCs w:val="20"/>
        </w:rPr>
        <w:tab/>
      </w:r>
    </w:p>
    <w:p w:rsidR="00187E8D" w:rsidRPr="00DC6F24" w:rsidRDefault="00187E8D" w:rsidP="00B84BFC">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rsidR="00187E8D" w:rsidRPr="00DC6F24" w:rsidRDefault="00187E8D" w:rsidP="00187E8D">
      <w:pPr>
        <w:ind w:left="450"/>
        <w:jc w:val="both"/>
        <w:rPr>
          <w:sz w:val="20"/>
          <w:szCs w:val="20"/>
        </w:rPr>
      </w:pPr>
    </w:p>
    <w:p w:rsidR="00187E8D" w:rsidRPr="00DC6F24" w:rsidRDefault="00187E8D" w:rsidP="00B84BFC">
      <w:pPr>
        <w:ind w:left="432"/>
        <w:jc w:val="both"/>
        <w:rPr>
          <w:b/>
          <w:bCs/>
          <w:sz w:val="20"/>
          <w:szCs w:val="20"/>
        </w:rPr>
      </w:pPr>
      <w:r w:rsidRPr="00DC6F24">
        <w:rPr>
          <w:b/>
          <w:bCs/>
          <w:sz w:val="20"/>
          <w:szCs w:val="20"/>
        </w:rPr>
        <w:t>General Merchandise on fob basis</w:t>
      </w:r>
    </w:p>
    <w:p w:rsidR="00187E8D" w:rsidRPr="00DC6F24" w:rsidRDefault="00187E8D" w:rsidP="00B84BFC">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rsidR="00187E8D" w:rsidRPr="00DC6F24" w:rsidRDefault="00187E8D" w:rsidP="00B84BFC">
      <w:pPr>
        <w:ind w:left="432"/>
        <w:jc w:val="both"/>
        <w:rPr>
          <w:sz w:val="20"/>
          <w:szCs w:val="20"/>
        </w:rPr>
      </w:pPr>
    </w:p>
    <w:p w:rsidR="00187E8D" w:rsidRPr="00DC6F24" w:rsidRDefault="00187E8D" w:rsidP="00B84BFC">
      <w:pPr>
        <w:ind w:left="432"/>
        <w:jc w:val="both"/>
        <w:rPr>
          <w:b/>
          <w:bCs/>
          <w:sz w:val="20"/>
          <w:szCs w:val="20"/>
        </w:rPr>
      </w:pPr>
      <w:r w:rsidRPr="00DC6F24">
        <w:rPr>
          <w:b/>
          <w:bCs/>
          <w:sz w:val="20"/>
          <w:szCs w:val="20"/>
        </w:rPr>
        <w:t xml:space="preserve">Goods under </w:t>
      </w:r>
      <w:r>
        <w:rPr>
          <w:b/>
          <w:bCs/>
          <w:sz w:val="20"/>
          <w:szCs w:val="20"/>
        </w:rPr>
        <w:t>M</w:t>
      </w:r>
      <w:r w:rsidRPr="00DC6F24">
        <w:rPr>
          <w:b/>
          <w:bCs/>
          <w:sz w:val="20"/>
          <w:szCs w:val="20"/>
        </w:rPr>
        <w:t>erchanting</w:t>
      </w:r>
    </w:p>
    <w:p w:rsidR="00187E8D" w:rsidRPr="00DC6F24" w:rsidRDefault="00187E8D" w:rsidP="00B84BFC">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187E8D" w:rsidRPr="00DC6F24" w:rsidRDefault="00187E8D" w:rsidP="00B84BFC">
      <w:pPr>
        <w:autoSpaceDE w:val="0"/>
        <w:autoSpaceDN w:val="0"/>
        <w:adjustRightInd w:val="0"/>
        <w:ind w:left="432"/>
        <w:rPr>
          <w:sz w:val="20"/>
          <w:szCs w:val="20"/>
        </w:rPr>
      </w:pPr>
    </w:p>
    <w:p w:rsidR="00187E8D" w:rsidRPr="00DC6F24" w:rsidRDefault="00187E8D" w:rsidP="00B84BFC">
      <w:pPr>
        <w:ind w:left="432"/>
        <w:jc w:val="both"/>
        <w:rPr>
          <w:b/>
          <w:bCs/>
          <w:sz w:val="20"/>
          <w:szCs w:val="20"/>
        </w:rPr>
      </w:pPr>
      <w:r w:rsidRPr="00DC6F24">
        <w:rPr>
          <w:b/>
          <w:bCs/>
          <w:sz w:val="20"/>
          <w:szCs w:val="20"/>
        </w:rPr>
        <w:t>Non-Monetary Gold</w:t>
      </w:r>
    </w:p>
    <w:p w:rsidR="00187E8D" w:rsidRPr="00DC6F24" w:rsidRDefault="00187E8D" w:rsidP="00B84BFC">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B84BFC">
      <w:pPr>
        <w:ind w:left="288"/>
        <w:jc w:val="both"/>
        <w:rPr>
          <w:b/>
          <w:bCs/>
          <w:sz w:val="20"/>
          <w:szCs w:val="20"/>
        </w:rPr>
      </w:pPr>
      <w:r w:rsidRPr="00DC6F24">
        <w:rPr>
          <w:b/>
          <w:bCs/>
          <w:sz w:val="20"/>
          <w:szCs w:val="20"/>
        </w:rPr>
        <w:t>Services</w:t>
      </w:r>
    </w:p>
    <w:p w:rsidR="00187E8D" w:rsidRPr="00DC6F24" w:rsidRDefault="00187E8D" w:rsidP="00B84BFC">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B84BFC">
      <w:pPr>
        <w:ind w:left="432"/>
        <w:jc w:val="both"/>
        <w:rPr>
          <w:b/>
          <w:sz w:val="20"/>
          <w:szCs w:val="20"/>
        </w:rPr>
      </w:pPr>
      <w:r w:rsidRPr="00DC6F24">
        <w:rPr>
          <w:b/>
          <w:sz w:val="20"/>
          <w:szCs w:val="20"/>
        </w:rPr>
        <w:t>Manufacturing services on physical inputs owned by others</w:t>
      </w:r>
    </w:p>
    <w:p w:rsidR="00187E8D" w:rsidRPr="00DC6F24" w:rsidRDefault="00187E8D" w:rsidP="00B84BFC">
      <w:pPr>
        <w:ind w:left="432"/>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B84BFC">
      <w:pPr>
        <w:ind w:left="288"/>
        <w:jc w:val="both"/>
        <w:rPr>
          <w:b/>
          <w:sz w:val="20"/>
          <w:szCs w:val="20"/>
        </w:rPr>
      </w:pPr>
      <w:r w:rsidRPr="00DC6F24">
        <w:rPr>
          <w:b/>
          <w:sz w:val="20"/>
          <w:szCs w:val="20"/>
        </w:rPr>
        <w:t>Maintenance and repair ser</w:t>
      </w:r>
      <w:r>
        <w:rPr>
          <w:b/>
          <w:sz w:val="20"/>
          <w:szCs w:val="20"/>
        </w:rPr>
        <w:t>vices</w:t>
      </w:r>
    </w:p>
    <w:p w:rsidR="00187E8D" w:rsidRPr="00DC6F24" w:rsidRDefault="00187E8D" w:rsidP="00B84BFC">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Transport</w:t>
      </w:r>
    </w:p>
    <w:p w:rsidR="00187E8D" w:rsidRPr="00DC6F24" w:rsidRDefault="00187E8D" w:rsidP="00B84BFC">
      <w:pPr>
        <w:ind w:left="288"/>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lastRenderedPageBreak/>
        <w:t>Travel</w:t>
      </w:r>
    </w:p>
    <w:p w:rsidR="00187E8D" w:rsidRPr="00DC6F24" w:rsidRDefault="00187E8D" w:rsidP="00B84BFC">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t>Construction Services</w:t>
      </w:r>
    </w:p>
    <w:p w:rsidR="00187E8D" w:rsidRPr="00DC6F24" w:rsidRDefault="00187E8D" w:rsidP="00B84BFC">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 xml:space="preserve">Insurance and pension services </w:t>
      </w:r>
    </w:p>
    <w:p w:rsidR="00187E8D" w:rsidRPr="00DC6F24" w:rsidRDefault="00187E8D" w:rsidP="00B84BFC">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Financial Services</w:t>
      </w:r>
    </w:p>
    <w:p w:rsidR="00187E8D" w:rsidRPr="00DC6F24" w:rsidRDefault="00187E8D" w:rsidP="00B84BFC">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Charges for the us</w:t>
      </w:r>
      <w:r>
        <w:rPr>
          <w:b/>
          <w:sz w:val="20"/>
          <w:szCs w:val="20"/>
        </w:rPr>
        <w:t xml:space="preserve">e of intellectual property </w:t>
      </w:r>
    </w:p>
    <w:p w:rsidR="00187E8D" w:rsidRPr="005356AA" w:rsidRDefault="00187E8D" w:rsidP="00B84BFC">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B84BFC">
      <w:pPr>
        <w:ind w:left="288"/>
        <w:jc w:val="both"/>
        <w:rPr>
          <w:b/>
          <w:bCs/>
          <w:i/>
          <w:iCs/>
          <w:sz w:val="20"/>
          <w:szCs w:val="20"/>
        </w:rPr>
      </w:pPr>
    </w:p>
    <w:p w:rsidR="00187E8D" w:rsidRPr="00DC6F24" w:rsidRDefault="00187E8D" w:rsidP="00B84BFC">
      <w:pPr>
        <w:ind w:left="288"/>
        <w:jc w:val="both"/>
        <w:rPr>
          <w:b/>
          <w:sz w:val="20"/>
          <w:szCs w:val="20"/>
        </w:rPr>
      </w:pPr>
      <w:r w:rsidRPr="00DC6F24">
        <w:rPr>
          <w:b/>
          <w:sz w:val="20"/>
          <w:szCs w:val="20"/>
        </w:rPr>
        <w:t>Telecommunications, computer, and information services</w:t>
      </w:r>
    </w:p>
    <w:p w:rsidR="00187E8D" w:rsidRPr="00DC6F24" w:rsidRDefault="00187E8D" w:rsidP="00B84BFC">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B84BFC" w:rsidRDefault="00B84BFC"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Other Business Services</w:t>
      </w:r>
    </w:p>
    <w:p w:rsidR="00187E8D" w:rsidRPr="00DC6F24" w:rsidRDefault="00187E8D" w:rsidP="00B84BFC">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bCs/>
          <w:sz w:val="20"/>
          <w:szCs w:val="20"/>
        </w:rPr>
      </w:pPr>
      <w:r w:rsidRPr="00DC6F24">
        <w:rPr>
          <w:b/>
          <w:bCs/>
          <w:sz w:val="20"/>
          <w:szCs w:val="20"/>
        </w:rPr>
        <w:t xml:space="preserve">Personal, Cultural and Recreational Services </w:t>
      </w:r>
    </w:p>
    <w:p w:rsidR="00187E8D" w:rsidRPr="00DC6F24" w:rsidRDefault="00187E8D" w:rsidP="00B84BFC">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B84BFC">
      <w:pPr>
        <w:ind w:left="288"/>
        <w:jc w:val="both"/>
        <w:rPr>
          <w:sz w:val="20"/>
          <w:szCs w:val="20"/>
        </w:rPr>
      </w:pPr>
    </w:p>
    <w:p w:rsidR="00187E8D" w:rsidRPr="00DC6F24" w:rsidRDefault="00187E8D" w:rsidP="00B84BFC">
      <w:pPr>
        <w:ind w:left="288"/>
        <w:jc w:val="both"/>
        <w:rPr>
          <w:bCs/>
          <w:sz w:val="20"/>
          <w:szCs w:val="20"/>
        </w:rPr>
      </w:pPr>
      <w:r w:rsidRPr="00DC6F24">
        <w:rPr>
          <w:b/>
          <w:bCs/>
          <w:sz w:val="20"/>
          <w:szCs w:val="20"/>
        </w:rPr>
        <w:lastRenderedPageBreak/>
        <w:t>Government Services</w:t>
      </w:r>
      <w:r w:rsidRPr="00DC6F24">
        <w:rPr>
          <w:bCs/>
          <w:sz w:val="20"/>
          <w:szCs w:val="20"/>
        </w:rPr>
        <w:t xml:space="preserve"> </w:t>
      </w:r>
    </w:p>
    <w:p w:rsidR="00187E8D" w:rsidRPr="00DC6F24" w:rsidRDefault="00187E8D" w:rsidP="00B84BFC">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B84BFC">
      <w:pPr>
        <w:ind w:left="288"/>
        <w:jc w:val="both"/>
        <w:rPr>
          <w:sz w:val="20"/>
          <w:szCs w:val="20"/>
        </w:rPr>
      </w:pPr>
    </w:p>
    <w:p w:rsidR="00187E8D" w:rsidRPr="002F011A" w:rsidRDefault="00187E8D" w:rsidP="00B84BFC">
      <w:pPr>
        <w:ind w:left="288"/>
        <w:jc w:val="both"/>
        <w:rPr>
          <w:b/>
          <w:sz w:val="20"/>
          <w:szCs w:val="20"/>
        </w:rPr>
      </w:pPr>
      <w:r w:rsidRPr="002F011A">
        <w:rPr>
          <w:b/>
          <w:sz w:val="20"/>
          <w:szCs w:val="20"/>
        </w:rPr>
        <w:t>Primary Income</w:t>
      </w:r>
    </w:p>
    <w:p w:rsidR="00187E8D" w:rsidRPr="00DC6F24" w:rsidRDefault="00187E8D" w:rsidP="00B84BFC">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Compensation of Employees</w:t>
      </w:r>
    </w:p>
    <w:p w:rsidR="00187E8D" w:rsidRPr="00DC6F24" w:rsidRDefault="00187E8D" w:rsidP="00B84BFC">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Direct Investment Income</w:t>
      </w:r>
    </w:p>
    <w:p w:rsidR="00187E8D" w:rsidRPr="00DC6F24" w:rsidRDefault="00187E8D" w:rsidP="00B84BFC">
      <w:pPr>
        <w:ind w:left="288"/>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B84BFC">
      <w:pPr>
        <w:ind w:left="288"/>
        <w:jc w:val="both"/>
        <w:rPr>
          <w:sz w:val="20"/>
          <w:szCs w:val="20"/>
        </w:rPr>
      </w:pPr>
    </w:p>
    <w:p w:rsidR="00187E8D" w:rsidRPr="00DC6F24" w:rsidRDefault="00187E8D" w:rsidP="00B84BFC">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B84BFC">
      <w:pPr>
        <w:tabs>
          <w:tab w:val="left" w:pos="360"/>
        </w:tabs>
        <w:ind w:left="288"/>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 Income</w:t>
      </w:r>
    </w:p>
    <w:p w:rsidR="00187E8D" w:rsidRPr="00DC6F24" w:rsidRDefault="00187E8D" w:rsidP="00B84BFC">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Secondary Income</w:t>
      </w:r>
    </w:p>
    <w:p w:rsidR="00187E8D" w:rsidRPr="00DC6F24" w:rsidRDefault="00187E8D" w:rsidP="00B84BFC">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274DB7" w:rsidRDefault="00274DB7"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Capital Account</w:t>
      </w:r>
    </w:p>
    <w:p w:rsidR="00187E8D" w:rsidRPr="00DC6F24" w:rsidRDefault="00187E8D" w:rsidP="00187E8D">
      <w:pPr>
        <w:autoSpaceDE w:val="0"/>
        <w:autoSpaceDN w:val="0"/>
        <w:adjustRightInd w:val="0"/>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B84BFC">
      <w:pPr>
        <w:ind w:left="288"/>
        <w:jc w:val="both"/>
        <w:rPr>
          <w:b/>
          <w:bCs/>
          <w:sz w:val="20"/>
          <w:szCs w:val="20"/>
        </w:rPr>
      </w:pPr>
      <w:r w:rsidRPr="00DC6F24">
        <w:rPr>
          <w:b/>
          <w:bCs/>
          <w:sz w:val="20"/>
          <w:szCs w:val="20"/>
        </w:rPr>
        <w:t>Capital Transfer</w:t>
      </w:r>
    </w:p>
    <w:p w:rsidR="00187E8D" w:rsidRPr="00DC6F24" w:rsidRDefault="00187E8D" w:rsidP="00B84BFC">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B84BFC">
      <w:pPr>
        <w:ind w:left="288"/>
        <w:jc w:val="both"/>
        <w:rPr>
          <w:sz w:val="20"/>
          <w:szCs w:val="20"/>
        </w:rPr>
      </w:pPr>
    </w:p>
    <w:p w:rsidR="00187E8D" w:rsidRPr="00DC6F24" w:rsidRDefault="00187E8D" w:rsidP="00B84BFC">
      <w:pPr>
        <w:ind w:left="288"/>
        <w:jc w:val="both"/>
        <w:rPr>
          <w:sz w:val="20"/>
          <w:szCs w:val="20"/>
        </w:rPr>
      </w:pPr>
      <w:r w:rsidRPr="00DC6F24">
        <w:rPr>
          <w:b/>
          <w:bCs/>
          <w:sz w:val="20"/>
          <w:szCs w:val="20"/>
        </w:rPr>
        <w:t>Acquisition/Disposal of Non-Produced, Non-Financial Assets</w:t>
      </w:r>
    </w:p>
    <w:p w:rsidR="00187E8D" w:rsidRPr="00DC6F24" w:rsidRDefault="00187E8D" w:rsidP="00B84BFC">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 xml:space="preserve">gnized as economic assets; (c) </w:t>
      </w:r>
      <w:r>
        <w:rPr>
          <w:sz w:val="20"/>
          <w:szCs w:val="20"/>
        </w:rPr>
        <w:lastRenderedPageBreak/>
        <w:t>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B84BFC">
      <w:pPr>
        <w:ind w:left="288"/>
        <w:jc w:val="both"/>
        <w:rPr>
          <w:b/>
          <w:bCs/>
          <w:sz w:val="20"/>
          <w:szCs w:val="20"/>
        </w:rPr>
      </w:pPr>
      <w:r w:rsidRPr="00DC6F24">
        <w:rPr>
          <w:b/>
          <w:bCs/>
          <w:sz w:val="20"/>
          <w:szCs w:val="20"/>
        </w:rPr>
        <w:t>Direct Investment</w:t>
      </w:r>
    </w:p>
    <w:p w:rsidR="00187E8D" w:rsidRPr="00DC6F24" w:rsidRDefault="00187E8D" w:rsidP="00B84BFC">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Portfolio Investment</w:t>
      </w:r>
    </w:p>
    <w:p w:rsidR="00187E8D" w:rsidRPr="00DC6F24" w:rsidRDefault="00187E8D" w:rsidP="00B84BFC">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w:t>
      </w:r>
    </w:p>
    <w:p w:rsidR="00187E8D" w:rsidRPr="00DC6F24" w:rsidRDefault="00187E8D" w:rsidP="00B84BFC">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Reserves Assets</w:t>
      </w:r>
    </w:p>
    <w:p w:rsidR="00187E8D" w:rsidRDefault="00187E8D" w:rsidP="00B84BFC">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lastRenderedPageBreak/>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rsidR="004E2AA5" w:rsidRPr="006F593A" w:rsidRDefault="004E2AA5" w:rsidP="004E2AA5">
      <w:pPr>
        <w:jc w:val="both"/>
        <w:rPr>
          <w:sz w:val="20"/>
          <w:szCs w:val="20"/>
        </w:rPr>
      </w:pPr>
    </w:p>
    <w:p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sz w:val="20"/>
          <w:szCs w:val="20"/>
        </w:rPr>
      </w:pPr>
      <w:r w:rsidRPr="006F593A">
        <w:rPr>
          <w:b/>
          <w:bCs/>
          <w:sz w:val="20"/>
          <w:szCs w:val="20"/>
        </w:rPr>
        <w:lastRenderedPageBreak/>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rsidR="00A77F2C" w:rsidRPr="006F593A" w:rsidRDefault="00A77F2C" w:rsidP="00B84BFC">
      <w:pPr>
        <w:tabs>
          <w:tab w:val="num" w:pos="900"/>
        </w:tabs>
        <w:ind w:left="288"/>
        <w:jc w:val="both"/>
        <w:rPr>
          <w:sz w:val="20"/>
          <w:szCs w:val="20"/>
        </w:rPr>
      </w:pPr>
      <w:r w:rsidRPr="006F593A">
        <w:rPr>
          <w:sz w:val="20"/>
          <w:szCs w:val="20"/>
        </w:rPr>
        <w:t xml:space="preserve">The </w:t>
      </w:r>
      <w:bookmarkStart w:id="1" w:name="Governme"/>
      <w:r w:rsidRPr="006F593A">
        <w:rPr>
          <w:sz w:val="20"/>
          <w:szCs w:val="20"/>
        </w:rPr>
        <w:t>Governme</w:t>
      </w:r>
      <w:bookmarkEnd w:id="1"/>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rsidR="002465AA" w:rsidRDefault="00A77F2C" w:rsidP="00B84BFC">
      <w:pPr>
        <w:tabs>
          <w:tab w:val="num" w:pos="900"/>
        </w:tabs>
        <w:ind w:left="288"/>
        <w:jc w:val="both"/>
        <w:rPr>
          <w:sz w:val="20"/>
          <w:szCs w:val="20"/>
        </w:rPr>
      </w:pPr>
      <w:r w:rsidRPr="006F593A">
        <w:rPr>
          <w:sz w:val="20"/>
          <w:szCs w:val="20"/>
        </w:rPr>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rsidR="00A77F2C" w:rsidRDefault="00A77F2C" w:rsidP="00B84BFC">
      <w:pPr>
        <w:tabs>
          <w:tab w:val="num" w:pos="900"/>
        </w:tabs>
        <w:ind w:left="288"/>
        <w:jc w:val="both"/>
        <w:rPr>
          <w:sz w:val="20"/>
          <w:szCs w:val="20"/>
        </w:rPr>
      </w:pPr>
      <w:r w:rsidRPr="006F593A">
        <w:rPr>
          <w:sz w:val="20"/>
          <w:szCs w:val="20"/>
        </w:rPr>
        <w:t xml:space="preserve">This three years maturity scheme was introduced in February, 1990. These certificates are available in the denomination of Rs.500, Rs.1000, Rs.5,000, Rs.10,000, Rs.50,000, Rs.100,000, Rs.500,000 </w:t>
      </w:r>
      <w:r w:rsidRPr="006F593A">
        <w:rPr>
          <w:sz w:val="20"/>
          <w:szCs w:val="20"/>
        </w:rPr>
        <w:lastRenderedPageBreak/>
        <w:t>and Rs.1,000,000. Profit is paid on the completion of each period of six months. The minimum investment limit is Rs.500, however, there is no maximum limit of investment in the scheme.</w:t>
      </w:r>
    </w:p>
    <w:p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2764E2" w:rsidRPr="006F593A" w:rsidRDefault="002764E2" w:rsidP="00746C86">
      <w:pPr>
        <w:spacing w:before="120"/>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rsidR="00170737" w:rsidRPr="006F593A" w:rsidRDefault="00170737" w:rsidP="00B84BFC">
      <w:pPr>
        <w:ind w:left="288"/>
        <w:jc w:val="both"/>
        <w:rPr>
          <w:sz w:val="20"/>
          <w:szCs w:val="20"/>
        </w:rPr>
      </w:pPr>
      <w:r w:rsidRPr="006F593A">
        <w:rPr>
          <w:sz w:val="20"/>
          <w:szCs w:val="20"/>
        </w:rPr>
        <w:t>Floating debt consists of short-term borrowing in the form of T-bills.</w:t>
      </w:r>
    </w:p>
    <w:p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rsidR="007A0FDB" w:rsidRPr="006F593A" w:rsidRDefault="007A0FDB" w:rsidP="00746C86">
      <w:pPr>
        <w:spacing w:before="120"/>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8A5679" w:rsidRDefault="008A5679" w:rsidP="00837B4D">
      <w:pPr>
        <w:jc w:val="both"/>
        <w:rPr>
          <w:b/>
          <w:sz w:val="20"/>
          <w:szCs w:val="20"/>
        </w:rPr>
      </w:pP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rsidR="00746C86" w:rsidRDefault="00746C86"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4274E1" w:rsidP="00746C86">
      <w:pPr>
        <w:spacing w:before="120"/>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w:t>
      </w:r>
      <w:r w:rsidRPr="006F593A">
        <w:rPr>
          <w:sz w:val="20"/>
          <w:szCs w:val="20"/>
        </w:rPr>
        <w:lastRenderedPageBreak/>
        <w:t xml:space="preserve">announces the auction prior to 14 days of auction date to allow short selling to the Primary Dealers on when issued basis. SBP decides the cutoff in consultation with MOF. </w:t>
      </w:r>
    </w:p>
    <w:p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8124D3" w:rsidRPr="006F593A" w:rsidRDefault="008124D3" w:rsidP="00746C86">
      <w:pPr>
        <w:spacing w:before="120"/>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746C86">
      <w:pPr>
        <w:spacing w:before="120"/>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9C6F7C" w:rsidRPr="006F593A" w:rsidRDefault="009C6F7C" w:rsidP="00746C86">
      <w:pPr>
        <w:spacing w:before="120"/>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746C86">
      <w:pPr>
        <w:spacing w:before="120"/>
        <w:jc w:val="both"/>
        <w:rPr>
          <w:b/>
          <w:sz w:val="20"/>
          <w:szCs w:val="20"/>
        </w:rPr>
      </w:pPr>
      <w:r w:rsidRPr="006F593A">
        <w:rPr>
          <w:b/>
          <w:sz w:val="20"/>
          <w:szCs w:val="20"/>
        </w:rPr>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8124D3" w:rsidRPr="006F593A" w:rsidRDefault="008124D3" w:rsidP="00746C86">
      <w:pPr>
        <w:spacing w:before="120"/>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rsidR="008124D3" w:rsidRPr="006F593A" w:rsidRDefault="008124D3" w:rsidP="00746C86">
      <w:pPr>
        <w:spacing w:before="120"/>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rsidR="008124D3" w:rsidRPr="006F593A" w:rsidRDefault="008124D3" w:rsidP="00746C86">
      <w:pPr>
        <w:spacing w:before="120"/>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9C6F7C" w:rsidRPr="006F593A" w:rsidRDefault="009C6F7C" w:rsidP="00746C86">
      <w:pPr>
        <w:spacing w:before="120"/>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Pr="00B84BFC" w:rsidRDefault="002465AA" w:rsidP="00837B4D">
      <w:pPr>
        <w:jc w:val="both"/>
        <w:rPr>
          <w:b/>
          <w:sz w:val="20"/>
          <w:szCs w:val="20"/>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6F796E" w:rsidRPr="006F593A" w:rsidRDefault="006F796E" w:rsidP="00746C86">
      <w:pPr>
        <w:tabs>
          <w:tab w:val="left" w:pos="709"/>
        </w:tabs>
        <w:spacing w:before="120"/>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746C86">
      <w:pPr>
        <w:tabs>
          <w:tab w:val="left" w:pos="709"/>
        </w:tabs>
        <w:spacing w:before="120"/>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2" w:name="OLE_LINK1"/>
      <w:bookmarkStart w:id="3" w:name="OLE_LINK2"/>
      <w:bookmarkEnd w:id="2"/>
      <w:r w:rsidRPr="006F593A">
        <w:rPr>
          <w:sz w:val="20"/>
          <w:szCs w:val="20"/>
        </w:rPr>
        <w:t xml:space="preserve">The KSE-100 Index was introduced in November 1991 with base value of 1,000 points. The Index comprises of 100 companies selected on the basis of sector representation and highest market </w:t>
      </w:r>
      <w:r w:rsidRPr="006F593A">
        <w:rPr>
          <w:sz w:val="20"/>
          <w:szCs w:val="20"/>
        </w:rPr>
        <w:lastRenderedPageBreak/>
        <w:t>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3"/>
    </w:p>
    <w:p w:rsidR="006F796E" w:rsidRPr="006F593A" w:rsidRDefault="006F796E" w:rsidP="00746C86">
      <w:pPr>
        <w:tabs>
          <w:tab w:val="left" w:pos="709"/>
        </w:tabs>
        <w:spacing w:before="120"/>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164394" w:rsidRPr="006F593A" w:rsidRDefault="00164394" w:rsidP="00746C86">
      <w:pPr>
        <w:spacing w:before="120"/>
        <w:jc w:val="both"/>
        <w:rPr>
          <w:b/>
          <w:sz w:val="20"/>
          <w:szCs w:val="20"/>
        </w:rPr>
      </w:pPr>
      <w:r w:rsidRPr="006F593A">
        <w:rPr>
          <w:b/>
          <w:sz w:val="20"/>
          <w:szCs w:val="20"/>
        </w:rPr>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746C86">
      <w:pPr>
        <w:spacing w:before="120"/>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rsidR="00B105ED" w:rsidRPr="00746C86" w:rsidRDefault="00B105ED" w:rsidP="00837B4D">
      <w:pPr>
        <w:jc w:val="both"/>
        <w:rPr>
          <w:b/>
          <w:sz w:val="20"/>
          <w:szCs w:val="20"/>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B67EF2" w:rsidRPr="006F593A" w:rsidRDefault="00B67EF2" w:rsidP="00746C86">
      <w:pPr>
        <w:spacing w:before="120"/>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B67EF2" w:rsidRPr="006F593A" w:rsidRDefault="00B67EF2" w:rsidP="00837B4D">
      <w:pPr>
        <w:jc w:val="both"/>
        <w:rPr>
          <w:sz w:val="20"/>
          <w:szCs w:val="20"/>
        </w:rPr>
      </w:pPr>
      <w:r w:rsidRPr="006F593A">
        <w:rPr>
          <w:sz w:val="20"/>
          <w:szCs w:val="20"/>
        </w:rPr>
        <w:t>Laspeyer’s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673793612" r:id="rId9"/>
        </w:object>
      </w:r>
      <w:r w:rsidR="00B67EF2" w:rsidRPr="006F593A">
        <w:rPr>
          <w:sz w:val="20"/>
          <w:szCs w:val="20"/>
        </w:rPr>
        <w:t xml:space="preserve">   x   100</w:t>
      </w: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rsidR="004357D0" w:rsidRPr="006F593A" w:rsidRDefault="004357D0" w:rsidP="00837B4D">
      <w:pPr>
        <w:jc w:val="both"/>
        <w:rPr>
          <w:b/>
          <w:sz w:val="20"/>
          <w:szCs w:val="20"/>
        </w:rPr>
      </w:pPr>
    </w:p>
    <w:p w:rsidR="00B67EF2" w:rsidRPr="006F593A" w:rsidRDefault="00B67EF2" w:rsidP="00746C86">
      <w:pPr>
        <w:jc w:val="both"/>
        <w:rPr>
          <w:b/>
          <w:sz w:val="20"/>
          <w:szCs w:val="20"/>
        </w:rPr>
      </w:pPr>
      <w:r w:rsidRPr="006F593A">
        <w:rPr>
          <w:b/>
          <w:sz w:val="20"/>
          <w:szCs w:val="20"/>
        </w:rPr>
        <w:t>Wholesale Price Index</w:t>
      </w:r>
    </w:p>
    <w:p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rsidR="00B67EF2" w:rsidRPr="006F593A" w:rsidRDefault="00B67EF2" w:rsidP="00746C86">
      <w:pPr>
        <w:spacing w:before="120"/>
        <w:jc w:val="both"/>
        <w:rPr>
          <w:b/>
          <w:sz w:val="20"/>
          <w:szCs w:val="20"/>
        </w:rPr>
      </w:pPr>
      <w:r w:rsidRPr="006F593A">
        <w:rPr>
          <w:b/>
          <w:sz w:val="20"/>
          <w:szCs w:val="20"/>
        </w:rPr>
        <w:t>Sensitive Price Indicator</w:t>
      </w:r>
    </w:p>
    <w:p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B84BFC" w:rsidRDefault="00996347" w:rsidP="00746C86">
      <w:pPr>
        <w:jc w:val="both"/>
        <w:rPr>
          <w:b/>
          <w:sz w:val="20"/>
          <w:szCs w:val="20"/>
        </w:rPr>
      </w:pPr>
    </w:p>
    <w:p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746C86">
      <w:pPr>
        <w:spacing w:before="120"/>
        <w:jc w:val="both"/>
        <w:rPr>
          <w:b/>
          <w:sz w:val="20"/>
          <w:szCs w:val="20"/>
        </w:rPr>
      </w:pPr>
      <w:r w:rsidRPr="006F593A">
        <w:rPr>
          <w:b/>
          <w:sz w:val="20"/>
          <w:szCs w:val="20"/>
        </w:rPr>
        <w:t xml:space="preserve">Debt Rescheduling </w:t>
      </w:r>
    </w:p>
    <w:p w:rsidR="00F03321" w:rsidRPr="00DA43CF" w:rsidRDefault="00F03321" w:rsidP="00746C86">
      <w:pPr>
        <w:jc w:val="both"/>
        <w:rPr>
          <w:sz w:val="20"/>
          <w:szCs w:val="20"/>
        </w:rPr>
      </w:pPr>
      <w:r w:rsidRPr="006F593A">
        <w:rPr>
          <w:sz w:val="20"/>
          <w:szCs w:val="20"/>
        </w:rPr>
        <w:t xml:space="preserve">Debt Rescheduling is undertaken through an agreement between the borrower and the creditor to re-arrange the schedule of principle and interest payments due on the debt outstanding. In addition, the </w:t>
      </w:r>
      <w:r w:rsidRPr="006F593A">
        <w:rPr>
          <w:sz w:val="20"/>
          <w:szCs w:val="20"/>
        </w:rPr>
        <w:lastRenderedPageBreak/>
        <w:t>rescheduling agreement may include provisions for debt relief to enable the borrower to regain its financial strength to service the rescheduled debt obligation.</w:t>
      </w:r>
    </w:p>
    <w:p w:rsidR="00F03321" w:rsidRPr="006F593A" w:rsidRDefault="00F03321" w:rsidP="00746C86">
      <w:pPr>
        <w:jc w:val="both"/>
        <w:rPr>
          <w:b/>
          <w:sz w:val="20"/>
          <w:szCs w:val="20"/>
        </w:rPr>
      </w:pPr>
      <w:r w:rsidRPr="006F593A">
        <w:rPr>
          <w:b/>
          <w:sz w:val="20"/>
          <w:szCs w:val="20"/>
        </w:rPr>
        <w:t xml:space="preserve">Direct Tax </w:t>
      </w:r>
    </w:p>
    <w:p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746C86">
      <w:pPr>
        <w:jc w:val="both"/>
        <w:rPr>
          <w:b/>
          <w:sz w:val="20"/>
          <w:szCs w:val="20"/>
        </w:rPr>
      </w:pPr>
      <w:r w:rsidRPr="006F593A">
        <w:rPr>
          <w:b/>
          <w:sz w:val="20"/>
          <w:szCs w:val="20"/>
        </w:rPr>
        <w:t>Indirect Tax</w:t>
      </w:r>
    </w:p>
    <w:p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746C86">
      <w:pPr>
        <w:jc w:val="both"/>
        <w:rPr>
          <w:sz w:val="20"/>
          <w:szCs w:val="20"/>
        </w:rPr>
      </w:pPr>
    </w:p>
    <w:p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National Accounts</w:t>
      </w:r>
    </w:p>
    <w:p w:rsidR="00317D84" w:rsidRPr="006F593A" w:rsidRDefault="00317D84" w:rsidP="008E7F6B">
      <w:pPr>
        <w:spacing w:before="120"/>
        <w:jc w:val="both"/>
        <w:rPr>
          <w:b/>
          <w:sz w:val="20"/>
          <w:szCs w:val="20"/>
        </w:rPr>
      </w:pPr>
      <w:r w:rsidRPr="006F593A">
        <w:rPr>
          <w:b/>
          <w:sz w:val="20"/>
          <w:szCs w:val="20"/>
        </w:rPr>
        <w:t>Gross Domestic Product</w:t>
      </w:r>
    </w:p>
    <w:p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746C86">
      <w:pPr>
        <w:spacing w:before="120"/>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746C86">
      <w:pPr>
        <w:spacing w:before="120"/>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746C86">
      <w:pPr>
        <w:spacing w:before="120"/>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4A5361"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C7679">
      <w:footerReference w:type="even" r:id="rId12"/>
      <w:footerReference w:type="default" r:id="rId13"/>
      <w:pgSz w:w="12240" w:h="15840" w:code="1"/>
      <w:pgMar w:top="1440" w:right="1620" w:bottom="2070" w:left="2160"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361" w:rsidRDefault="004A5361">
      <w:r>
        <w:separator/>
      </w:r>
    </w:p>
  </w:endnote>
  <w:endnote w:type="continuationSeparator" w:id="0">
    <w:p w:rsidR="004A5361" w:rsidRDefault="004A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2C7679">
      <w:rPr>
        <w:noProof/>
        <w:sz w:val="20"/>
        <w:szCs w:val="20"/>
      </w:rPr>
      <w:t>179</w:t>
    </w:r>
    <w:r w:rsidRPr="00530FE1">
      <w:rPr>
        <w:sz w:val="20"/>
        <w:szCs w:val="20"/>
      </w:rPr>
      <w:fldChar w:fldCharType="end"/>
    </w:r>
  </w:p>
  <w:p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361" w:rsidRDefault="004A5361">
      <w:r>
        <w:separator/>
      </w:r>
    </w:p>
  </w:footnote>
  <w:footnote w:type="continuationSeparator" w:id="0">
    <w:p w:rsidR="004A5361" w:rsidRDefault="004A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567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3893"/>
    <w:rsid w:val="00DC3ABE"/>
    <w:rsid w:val="00DC5528"/>
    <w:rsid w:val="00DC62DF"/>
    <w:rsid w:val="00DD5D5D"/>
    <w:rsid w:val="00DD7338"/>
    <w:rsid w:val="00DE1257"/>
    <w:rsid w:val="00DE1C0F"/>
    <w:rsid w:val="00DE3674"/>
    <w:rsid w:val="00DE55B8"/>
    <w:rsid w:val="00DE7816"/>
    <w:rsid w:val="00DF05F8"/>
    <w:rsid w:val="00DF2181"/>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BE2B-2099-4EC8-A5EA-BA0CCB1C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39460</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Muhammad Sajjad Kiani - Statistics &amp; DWH</cp:lastModifiedBy>
  <cp:revision>7</cp:revision>
  <cp:lastPrinted>2018-11-05T10:06:00Z</cp:lastPrinted>
  <dcterms:created xsi:type="dcterms:W3CDTF">2017-08-23T10:12:00Z</dcterms:created>
  <dcterms:modified xsi:type="dcterms:W3CDTF">2021-02-02T12:54:00Z</dcterms:modified>
</cp:coreProperties>
</file>