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810"/>
        <w:gridCol w:w="810"/>
        <w:gridCol w:w="702"/>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FC23F9" w:rsidRPr="00FA2FBA" w:rsidTr="00FC23F9">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FC23F9" w:rsidRPr="00FA2FBA" w:rsidRDefault="00FC23F9"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FC23F9" w:rsidRPr="002D5FD9" w:rsidRDefault="00FC23F9"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3132"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2020</w:t>
            </w:r>
          </w:p>
        </w:tc>
        <w:tc>
          <w:tcPr>
            <w:tcW w:w="1458"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2021</w:t>
            </w:r>
          </w:p>
        </w:tc>
      </w:tr>
      <w:tr w:rsidR="00FC23F9" w:rsidRPr="00FA2FBA" w:rsidTr="003C34F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FC23F9" w:rsidRPr="00FA2FBA" w:rsidRDefault="00FC23F9" w:rsidP="00FC23F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C23F9" w:rsidRPr="006619BF" w:rsidRDefault="00FC23F9" w:rsidP="00FC23F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23F9" w:rsidRPr="006619BF" w:rsidRDefault="00FC23F9" w:rsidP="00FC23F9">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23F9" w:rsidRPr="006619BF" w:rsidRDefault="00FC23F9" w:rsidP="00FC23F9">
            <w:pPr>
              <w:jc w:val="right"/>
              <w:rPr>
                <w:b/>
                <w:color w:val="auto"/>
                <w:sz w:val="14"/>
                <w:szCs w:val="14"/>
              </w:rPr>
            </w:pPr>
            <w:r>
              <w:rPr>
                <w:b/>
                <w:color w:val="auto"/>
                <w:sz w:val="14"/>
                <w:szCs w:val="14"/>
              </w:rPr>
              <w:t>Nov</w:t>
            </w:r>
          </w:p>
        </w:tc>
        <w:tc>
          <w:tcPr>
            <w:tcW w:w="70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r>
              <w:rPr>
                <w:b/>
                <w:color w:val="auto"/>
                <w:sz w:val="14"/>
                <w:szCs w:val="14"/>
              </w:rPr>
              <w:t>Dec</w:t>
            </w:r>
          </w:p>
        </w:tc>
        <w:tc>
          <w:tcPr>
            <w:tcW w:w="738"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C23F9" w:rsidRPr="006619BF" w:rsidRDefault="00536070" w:rsidP="00FC23F9">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FC23F9" w:rsidRPr="00FC23F9" w:rsidRDefault="00FC23F9" w:rsidP="00FC23F9">
            <w:pPr>
              <w:jc w:val="right"/>
              <w:rPr>
                <w:b/>
                <w:color w:val="auto"/>
                <w:sz w:val="14"/>
                <w:szCs w:val="14"/>
                <w:vertAlign w:val="superscript"/>
              </w:rPr>
            </w:pPr>
            <w:r>
              <w:rPr>
                <w:b/>
                <w:color w:val="auto"/>
                <w:sz w:val="14"/>
                <w:szCs w:val="14"/>
              </w:rPr>
              <w:t>Feb</w:t>
            </w:r>
            <w:r>
              <w:rPr>
                <w:b/>
                <w:color w:val="auto"/>
                <w:sz w:val="14"/>
                <w:szCs w:val="14"/>
                <w:vertAlign w:val="superscript"/>
              </w:rPr>
              <w:t xml:space="preserve"> P</w:t>
            </w:r>
          </w:p>
        </w:tc>
      </w:tr>
      <w:tr w:rsidR="003C34F6" w:rsidRPr="00FA2FBA" w:rsidTr="00FC23F9">
        <w:trPr>
          <w:trHeight w:val="312"/>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346,614</w:t>
            </w:r>
          </w:p>
        </w:tc>
        <w:tc>
          <w:tcPr>
            <w:tcW w:w="810" w:type="dxa"/>
            <w:tcBorders>
              <w:top w:val="single" w:sz="12" w:space="0" w:color="auto"/>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439,706</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652,752</w:t>
            </w:r>
          </w:p>
        </w:tc>
        <w:tc>
          <w:tcPr>
            <w:tcW w:w="702" w:type="dxa"/>
            <w:tcBorders>
              <w:top w:val="single" w:sz="12" w:space="0" w:color="auto"/>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786,784</w:t>
            </w:r>
          </w:p>
        </w:tc>
        <w:tc>
          <w:tcPr>
            <w:tcW w:w="738" w:type="dxa"/>
            <w:tcBorders>
              <w:top w:val="single" w:sz="12" w:space="0" w:color="auto"/>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786,929</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742,635</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3,140,692</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3,224,525</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3,355,309</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3,476,637</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3,396,667</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3,318,874</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508,578</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515,952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583,953</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626,999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620,126</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572,638</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38,692</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32,657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15,977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16,229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16,222</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10,123</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59,134</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71,496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23,058</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23,118</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23,156</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22,867</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1,919,867</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2,001,800</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2,071,949</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2,014,435</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2,004,728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2,066,716</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172,267</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162,157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197,319</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325,897</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262,463</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184,350</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114</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9</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442,154</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440,462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462,938</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469,959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469,959</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462,170</w:t>
            </w:r>
          </w:p>
        </w:tc>
      </w:tr>
      <w:tr w:rsidR="003C34F6" w:rsidRPr="006764F7"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i/>
                <w:iCs/>
                <w:sz w:val="14"/>
                <w:szCs w:val="14"/>
              </w:rPr>
            </w:pPr>
            <w:r>
              <w:rPr>
                <w:i/>
                <w:iCs/>
                <w:sz w:val="14"/>
                <w:szCs w:val="14"/>
              </w:rPr>
              <w:t>431,927</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430,116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i/>
                <w:iCs/>
                <w:sz w:val="14"/>
                <w:szCs w:val="14"/>
              </w:rPr>
            </w:pPr>
            <w:r>
              <w:rPr>
                <w:i/>
                <w:iCs/>
                <w:sz w:val="14"/>
                <w:szCs w:val="14"/>
              </w:rPr>
              <w:t>462,937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469,958</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i/>
                <w:iCs/>
                <w:sz w:val="14"/>
                <w:szCs w:val="14"/>
              </w:rPr>
            </w:pPr>
            <w:r>
              <w:rPr>
                <w:i/>
                <w:iCs/>
                <w:sz w:val="14"/>
                <w:szCs w:val="14"/>
              </w:rPr>
              <w:t>462,169</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2,794,078</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2,784,818</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2,702,557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2,689,853</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2,609,738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2,576,240</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885,546</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885,407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764,592</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600,544</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435,178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430,462</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1,238,549</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1,233,356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1,224,897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1,196,255</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1,194,884</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1,175,078</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459,764</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457,243</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488,496</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664,925</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751,646</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744,072</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210,219</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208,813</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224,572</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228,129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228,030</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226,627</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1,415,524</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1,532,806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1,963,527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2,106,529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2,223,641</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2,322,443</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6,024,570</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5,874,793</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6,116,516</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5,931,733</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5,906,684</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5,941,025</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6,555,650</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6,411,608</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6,520,780</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6,386,612</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6,420,165</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6,458,880</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7,663,780</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7,712,562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7,213,393</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7,017,426</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7,025,013</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7,053,393</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7,621,142</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7,670,246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7,172,331</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6,975,812</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6,983,864</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7,012,547</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42,638</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42,316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41,062</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41,614</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41,150</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40,846</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1,108,131</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1,300,954</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692,613</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630,813</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604,848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594,512</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1,108,131</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1,300,954</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692,613</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630,813</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604,848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594,512</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(531,080)</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(536,816)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(404,264)</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(454,879)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(513,481)</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(517,855)</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2,813</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1,349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296</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296</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2,813</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1,349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296</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531,376</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537,112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407,077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456,228</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513,777</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518,151</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531,376</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537,112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407,077</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456,228</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513,777</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518,151</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25,577</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25,562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25,658</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25,728</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26,833</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29,539</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4,319</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4,325</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4,412</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4,447</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4,499</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6,182</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54</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21</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30</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34</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22</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21,205</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21,180</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21,226</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21,251</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22,300</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23,335</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6,520,278</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6,558,877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7,572,256</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7,645,129</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7,711,327</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7,824,294</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5,608,913</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5,657,972</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6,532,361</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6,543,806</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6,678,048</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6,802,213</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b/>
                <w:bCs/>
                <w:sz w:val="14"/>
                <w:szCs w:val="14"/>
              </w:rPr>
            </w:pPr>
            <w:r>
              <w:rPr>
                <w:b/>
                <w:bCs/>
                <w:sz w:val="14"/>
                <w:szCs w:val="14"/>
              </w:rPr>
              <w:t>908,119</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897,677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1,037,021</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1,097,645</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1,028,997</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1,018,071</w:t>
            </w:r>
          </w:p>
        </w:tc>
      </w:tr>
      <w:tr w:rsidR="003C34F6" w:rsidRPr="00FA2FBA" w:rsidTr="00FC23F9">
        <w:trPr>
          <w:trHeight w:val="266"/>
        </w:trPr>
        <w:tc>
          <w:tcPr>
            <w:tcW w:w="3912" w:type="dxa"/>
            <w:tcBorders>
              <w:top w:val="nil"/>
              <w:left w:val="nil"/>
              <w:bottom w:val="nil"/>
              <w:right w:val="nil"/>
            </w:tcBorders>
            <w:shd w:val="clear" w:color="auto" w:fill="auto"/>
            <w:noWrap/>
            <w:vAlign w:val="center"/>
            <w:hideMark/>
          </w:tcPr>
          <w:p w:rsidR="003C34F6" w:rsidRPr="00FA2FBA" w:rsidRDefault="003C34F6" w:rsidP="003C34F6">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908,119</w:t>
            </w:r>
          </w:p>
        </w:tc>
        <w:tc>
          <w:tcPr>
            <w:tcW w:w="810"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897,677</w:t>
            </w:r>
          </w:p>
        </w:tc>
        <w:tc>
          <w:tcPr>
            <w:tcW w:w="810" w:type="dxa"/>
            <w:tcBorders>
              <w:top w:val="nil"/>
              <w:left w:val="nil"/>
              <w:bottom w:val="nil"/>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1,037,021</w:t>
            </w:r>
          </w:p>
        </w:tc>
        <w:tc>
          <w:tcPr>
            <w:tcW w:w="702"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1,097,645</w:t>
            </w:r>
          </w:p>
        </w:tc>
        <w:tc>
          <w:tcPr>
            <w:tcW w:w="738" w:type="dxa"/>
            <w:tcBorders>
              <w:top w:val="nil"/>
              <w:left w:val="nil"/>
              <w:bottom w:val="nil"/>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1,028,997</w:t>
            </w:r>
          </w:p>
        </w:tc>
        <w:tc>
          <w:tcPr>
            <w:tcW w:w="720" w:type="dxa"/>
            <w:tcBorders>
              <w:top w:val="nil"/>
              <w:left w:val="nil"/>
              <w:bottom w:val="nil"/>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1,018,071</w:t>
            </w:r>
          </w:p>
        </w:tc>
      </w:tr>
      <w:tr w:rsidR="003C34F6" w:rsidRPr="00FA2FBA" w:rsidTr="00FC23F9">
        <w:trPr>
          <w:trHeight w:val="266"/>
        </w:trPr>
        <w:tc>
          <w:tcPr>
            <w:tcW w:w="3912" w:type="dxa"/>
            <w:tcBorders>
              <w:top w:val="nil"/>
              <w:left w:val="nil"/>
              <w:bottom w:val="single" w:sz="12" w:space="0" w:color="auto"/>
              <w:right w:val="nil"/>
            </w:tcBorders>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C34F6" w:rsidRDefault="003C34F6" w:rsidP="003C34F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02" w:type="dxa"/>
            <w:tcBorders>
              <w:top w:val="nil"/>
              <w:left w:val="nil"/>
              <w:bottom w:val="single" w:sz="12" w:space="0" w:color="auto"/>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20"/>
        <w:gridCol w:w="715"/>
        <w:gridCol w:w="849"/>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FC23F9" w:rsidRPr="00FA2FBA" w:rsidTr="00FC23F9">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FC23F9" w:rsidRPr="00FA2FBA" w:rsidRDefault="00FC23F9"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C23F9" w:rsidRPr="002D5FD9" w:rsidRDefault="00FC23F9"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FC23F9" w:rsidRPr="002D5FD9" w:rsidRDefault="00FC23F9"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3034"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2020</w:t>
            </w:r>
          </w:p>
        </w:tc>
        <w:tc>
          <w:tcPr>
            <w:tcW w:w="1406"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2021</w:t>
            </w:r>
          </w:p>
        </w:tc>
      </w:tr>
      <w:tr w:rsidR="00FC23F9" w:rsidRPr="00FA2FBA" w:rsidTr="00FC23F9">
        <w:trPr>
          <w:trHeight w:val="268"/>
        </w:trPr>
        <w:tc>
          <w:tcPr>
            <w:tcW w:w="4088" w:type="dxa"/>
            <w:vMerge/>
            <w:tcBorders>
              <w:bottom w:val="single" w:sz="12" w:space="0" w:color="auto"/>
              <w:right w:val="single" w:sz="4" w:space="0" w:color="auto"/>
            </w:tcBorders>
            <w:shd w:val="clear" w:color="auto" w:fill="auto"/>
            <w:noWrap/>
            <w:vAlign w:val="center"/>
            <w:hideMark/>
          </w:tcPr>
          <w:p w:rsidR="00FC23F9" w:rsidRPr="00FA2FBA" w:rsidRDefault="00FC23F9" w:rsidP="00FC23F9">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C23F9" w:rsidRPr="006619BF" w:rsidRDefault="00FC23F9" w:rsidP="00FC23F9">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23F9" w:rsidRPr="006619BF" w:rsidRDefault="00FC23F9" w:rsidP="00FC23F9">
            <w:pPr>
              <w:jc w:val="right"/>
              <w:rPr>
                <w:b/>
                <w:color w:val="auto"/>
                <w:sz w:val="14"/>
                <w:szCs w:val="14"/>
              </w:rPr>
            </w:pPr>
            <w:r>
              <w:rPr>
                <w:b/>
                <w:color w:val="auto"/>
                <w:sz w:val="14"/>
                <w:szCs w:val="14"/>
              </w:rPr>
              <w:t>Jan</w:t>
            </w:r>
          </w:p>
        </w:tc>
        <w:tc>
          <w:tcPr>
            <w:tcW w:w="720" w:type="dxa"/>
            <w:tcBorders>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r>
              <w:rPr>
                <w:b/>
                <w:color w:val="auto"/>
                <w:sz w:val="14"/>
                <w:szCs w:val="14"/>
              </w:rPr>
              <w:t>Feb</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FC23F9" w:rsidRPr="006619BF" w:rsidRDefault="00FC23F9" w:rsidP="00FC23F9">
            <w:pPr>
              <w:jc w:val="right"/>
              <w:rPr>
                <w:b/>
                <w:color w:val="auto"/>
                <w:sz w:val="14"/>
                <w:szCs w:val="14"/>
              </w:rPr>
            </w:pPr>
            <w:r>
              <w:rPr>
                <w:b/>
                <w:color w:val="auto"/>
                <w:sz w:val="14"/>
                <w:szCs w:val="14"/>
              </w:rPr>
              <w:t>Nov</w:t>
            </w:r>
          </w:p>
        </w:tc>
        <w:tc>
          <w:tcPr>
            <w:tcW w:w="849" w:type="dxa"/>
            <w:tcBorders>
              <w:bottom w:val="single" w:sz="12" w:space="0" w:color="auto"/>
              <w:right w:val="single" w:sz="4" w:space="0" w:color="auto"/>
            </w:tcBorders>
            <w:shd w:val="clear" w:color="auto" w:fill="auto"/>
            <w:tcMar>
              <w:left w:w="43" w:type="dxa"/>
              <w:right w:w="43" w:type="dxa"/>
            </w:tcMar>
            <w:vAlign w:val="center"/>
          </w:tcPr>
          <w:p w:rsidR="00FC23F9" w:rsidRPr="006619BF" w:rsidRDefault="00FC23F9" w:rsidP="00FC23F9">
            <w:pPr>
              <w:jc w:val="right"/>
              <w:rPr>
                <w:b/>
                <w:color w:val="auto"/>
                <w:sz w:val="14"/>
                <w:szCs w:val="14"/>
              </w:rPr>
            </w:pPr>
            <w:r>
              <w:rPr>
                <w:b/>
                <w:color w:val="auto"/>
                <w:sz w:val="14"/>
                <w:szCs w:val="14"/>
              </w:rPr>
              <w:t>Dec</w:t>
            </w:r>
          </w:p>
        </w:tc>
        <w:tc>
          <w:tcPr>
            <w:tcW w:w="686" w:type="dxa"/>
            <w:tcBorders>
              <w:left w:val="single" w:sz="4" w:space="0" w:color="auto"/>
              <w:bottom w:val="single" w:sz="12" w:space="0" w:color="auto"/>
            </w:tcBorders>
            <w:shd w:val="clear" w:color="auto" w:fill="auto"/>
            <w:tcMar>
              <w:left w:w="43" w:type="dxa"/>
              <w:right w:w="43" w:type="dxa"/>
            </w:tcMar>
            <w:vAlign w:val="center"/>
          </w:tcPr>
          <w:p w:rsidR="00FC23F9" w:rsidRPr="006619BF" w:rsidRDefault="00536070" w:rsidP="00FC23F9">
            <w:pPr>
              <w:jc w:val="right"/>
              <w:rPr>
                <w:b/>
                <w:color w:val="auto"/>
                <w:sz w:val="14"/>
                <w:szCs w:val="14"/>
              </w:rPr>
            </w:pPr>
            <w:r>
              <w:rPr>
                <w:b/>
                <w:color w:val="auto"/>
                <w:sz w:val="14"/>
                <w:szCs w:val="14"/>
              </w:rPr>
              <w:t>Jan</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FC23F9" w:rsidRPr="00536070" w:rsidRDefault="00FC23F9" w:rsidP="00FC23F9">
            <w:pPr>
              <w:jc w:val="right"/>
              <w:rPr>
                <w:b/>
                <w:color w:val="auto"/>
                <w:sz w:val="14"/>
                <w:szCs w:val="14"/>
                <w:vertAlign w:val="superscript"/>
              </w:rPr>
            </w:pPr>
            <w:r>
              <w:rPr>
                <w:b/>
                <w:color w:val="auto"/>
                <w:sz w:val="14"/>
                <w:szCs w:val="14"/>
              </w:rPr>
              <w:t>Feb</w:t>
            </w:r>
            <w:r w:rsidR="00536070">
              <w:rPr>
                <w:b/>
                <w:color w:val="auto"/>
                <w:sz w:val="14"/>
                <w:szCs w:val="14"/>
                <w:vertAlign w:val="superscript"/>
              </w:rPr>
              <w:t xml:space="preserve"> P</w:t>
            </w:r>
          </w:p>
        </w:tc>
      </w:tr>
      <w:tr w:rsidR="003C34F6" w:rsidRPr="00FA2FBA" w:rsidTr="00FC23F9">
        <w:trPr>
          <w:trHeight w:val="245"/>
        </w:trPr>
        <w:tc>
          <w:tcPr>
            <w:tcW w:w="4088" w:type="dxa"/>
            <w:tcBorders>
              <w:top w:val="single" w:sz="12" w:space="0" w:color="auto"/>
            </w:tcBorders>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3,246</w:t>
            </w:r>
          </w:p>
        </w:tc>
        <w:tc>
          <w:tcPr>
            <w:tcW w:w="720" w:type="dxa"/>
            <w:tcBorders>
              <w:top w:val="single" w:sz="12" w:space="0" w:color="auto"/>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3,229</w:t>
            </w:r>
          </w:p>
        </w:tc>
        <w:tc>
          <w:tcPr>
            <w:tcW w:w="715" w:type="dxa"/>
            <w:tcBorders>
              <w:top w:val="single" w:sz="12" w:space="0" w:color="auto"/>
            </w:tcBorders>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2,874</w:t>
            </w:r>
          </w:p>
        </w:tc>
        <w:tc>
          <w:tcPr>
            <w:tcW w:w="849" w:type="dxa"/>
            <w:tcBorders>
              <w:top w:val="single" w:sz="12" w:space="0" w:color="auto"/>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3,678</w:t>
            </w:r>
          </w:p>
        </w:tc>
        <w:tc>
          <w:tcPr>
            <w:tcW w:w="686" w:type="dxa"/>
            <w:tcBorders>
              <w:top w:val="single" w:sz="12" w:space="0" w:color="auto"/>
            </w:tcBorders>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4,282</w:t>
            </w:r>
          </w:p>
        </w:tc>
        <w:tc>
          <w:tcPr>
            <w:tcW w:w="720" w:type="dxa"/>
            <w:tcBorders>
              <w:top w:val="single" w:sz="12" w:space="0" w:color="auto"/>
            </w:tcBorders>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4,010</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1,517</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1,480</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1,453</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2,310</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2,977</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2,281</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63</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101</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96</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67</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40</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35</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34</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132</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157</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146</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146</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151</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173</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848</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161</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1,208</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1,218</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1,270</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1,238</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1,235</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2,097</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2,093</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2,086</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1,729</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1,749</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1,421</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1,368</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1,305</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1,729</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941</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1,651</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1,175</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1,051</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929</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827</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824</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1,086</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512</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602</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554</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699</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492</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541</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481</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643</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66,503</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66,410</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74,271</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74,416</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74,273</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74,109</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C34F6" w:rsidRDefault="003C34F6" w:rsidP="003C34F6">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3C34F6" w:rsidRDefault="003C34F6" w:rsidP="003C34F6">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3C34F6" w:rsidRDefault="003C34F6" w:rsidP="003C34F6">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3C34F6" w:rsidRDefault="003C34F6" w:rsidP="003C34F6">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3C34F6" w:rsidRDefault="003C34F6" w:rsidP="003C34F6">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3C34F6" w:rsidRDefault="003C34F6" w:rsidP="003C34F6">
            <w:pPr>
              <w:ind w:firstLineChars="200" w:firstLine="320"/>
              <w:jc w:val="right"/>
              <w:rPr>
                <w:i/>
                <w:iCs/>
                <w:szCs w:val="16"/>
              </w:rPr>
            </w:pPr>
            <w:r>
              <w:rPr>
                <w:i/>
                <w:iCs/>
                <w:szCs w:val="16"/>
              </w:rPr>
              <w:t>-</w:t>
            </w:r>
          </w:p>
        </w:tc>
        <w:tc>
          <w:tcPr>
            <w:tcW w:w="849" w:type="dxa"/>
            <w:shd w:val="clear" w:color="auto" w:fill="auto"/>
            <w:tcMar>
              <w:left w:w="43" w:type="dxa"/>
              <w:right w:w="43" w:type="dxa"/>
            </w:tcMar>
            <w:vAlign w:val="center"/>
          </w:tcPr>
          <w:p w:rsidR="003C34F6" w:rsidRDefault="003C34F6" w:rsidP="003C34F6">
            <w:pPr>
              <w:ind w:firstLineChars="200" w:firstLine="320"/>
              <w:jc w:val="right"/>
              <w:rPr>
                <w:i/>
                <w:iCs/>
                <w:szCs w:val="16"/>
              </w:rPr>
            </w:pPr>
            <w:r>
              <w:rPr>
                <w:i/>
                <w:iCs/>
                <w:szCs w:val="16"/>
              </w:rPr>
              <w:t>-</w:t>
            </w:r>
          </w:p>
        </w:tc>
        <w:tc>
          <w:tcPr>
            <w:tcW w:w="686" w:type="dxa"/>
            <w:shd w:val="clear" w:color="auto" w:fill="auto"/>
            <w:tcMar>
              <w:left w:w="43" w:type="dxa"/>
              <w:right w:w="43" w:type="dxa"/>
            </w:tcMar>
            <w:vAlign w:val="center"/>
          </w:tcPr>
          <w:p w:rsidR="003C34F6" w:rsidRDefault="003C34F6" w:rsidP="003C34F6">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3C34F6" w:rsidRDefault="003C34F6" w:rsidP="003C34F6">
            <w:pPr>
              <w:ind w:firstLineChars="200" w:firstLine="320"/>
              <w:jc w:val="right"/>
              <w:rPr>
                <w:i/>
                <w:iCs/>
                <w:szCs w:val="16"/>
              </w:rPr>
            </w:pPr>
            <w:r>
              <w:rPr>
                <w:i/>
                <w:iCs/>
                <w:szCs w:val="16"/>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1,608,363</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1,704,705</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1,277,197</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1,350,021</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1,407,206</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1,419,644</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100</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100</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100</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100</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100</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100</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100</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12,779</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6,941</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829,788</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918,755</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358,348</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383,199</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447,256</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507,183</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110,715</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112,538</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99,538</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99,538</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167,413</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167,413</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167,413</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451,482</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623,562</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678,937</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686,312</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751,335</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799,309</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792,436</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744,948</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(382,860)</w:t>
            </w:r>
          </w:p>
        </w:tc>
        <w:tc>
          <w:tcPr>
            <w:tcW w:w="720"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(457,126)</w:t>
            </w:r>
          </w:p>
        </w:tc>
        <w:tc>
          <w:tcPr>
            <w:tcW w:w="715" w:type="dxa"/>
            <w:shd w:val="clear" w:color="auto" w:fill="auto"/>
            <w:tcMar>
              <w:left w:w="43" w:type="dxa"/>
              <w:right w:w="43" w:type="dxa"/>
            </w:tcMar>
            <w:vAlign w:val="center"/>
            <w:hideMark/>
          </w:tcPr>
          <w:p w:rsidR="003C34F6" w:rsidRDefault="003C34F6" w:rsidP="003C34F6">
            <w:pPr>
              <w:jc w:val="right"/>
              <w:rPr>
                <w:b/>
                <w:bCs/>
                <w:sz w:val="14"/>
                <w:szCs w:val="14"/>
              </w:rPr>
            </w:pPr>
            <w:r>
              <w:rPr>
                <w:b/>
                <w:bCs/>
                <w:sz w:val="14"/>
                <w:szCs w:val="14"/>
              </w:rPr>
              <w:t>(165,270)</w:t>
            </w:r>
          </w:p>
        </w:tc>
        <w:tc>
          <w:tcPr>
            <w:tcW w:w="849"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(218,792)</w:t>
            </w:r>
          </w:p>
        </w:tc>
        <w:tc>
          <w:tcPr>
            <w:tcW w:w="686" w:type="dxa"/>
            <w:shd w:val="clear" w:color="auto" w:fill="auto"/>
            <w:tcMar>
              <w:left w:w="43" w:type="dxa"/>
              <w:right w:w="43" w:type="dxa"/>
            </w:tcMar>
            <w:vAlign w:val="center"/>
          </w:tcPr>
          <w:p w:rsidR="003C34F6" w:rsidRDefault="003C34F6" w:rsidP="003C34F6">
            <w:pPr>
              <w:jc w:val="right"/>
              <w:rPr>
                <w:b/>
                <w:bCs/>
                <w:sz w:val="14"/>
                <w:szCs w:val="14"/>
              </w:rPr>
            </w:pPr>
            <w:r>
              <w:rPr>
                <w:b/>
                <w:bCs/>
                <w:sz w:val="14"/>
                <w:szCs w:val="14"/>
              </w:rPr>
              <w:t>(248,720)</w:t>
            </w:r>
          </w:p>
        </w:tc>
        <w:tc>
          <w:tcPr>
            <w:tcW w:w="720" w:type="dxa"/>
            <w:shd w:val="clear" w:color="auto" w:fill="auto"/>
            <w:noWrap/>
            <w:tcMar>
              <w:left w:w="43" w:type="dxa"/>
              <w:right w:w="43" w:type="dxa"/>
            </w:tcMar>
            <w:vAlign w:val="center"/>
          </w:tcPr>
          <w:p w:rsidR="003C34F6" w:rsidRDefault="003C34F6" w:rsidP="003C34F6">
            <w:pPr>
              <w:jc w:val="right"/>
              <w:rPr>
                <w:b/>
                <w:bCs/>
                <w:sz w:val="14"/>
                <w:szCs w:val="14"/>
              </w:rPr>
            </w:pPr>
            <w:r>
              <w:rPr>
                <w:b/>
                <w:bCs/>
                <w:sz w:val="14"/>
                <w:szCs w:val="14"/>
              </w:rPr>
              <w:t>(282,406)</w:t>
            </w:r>
          </w:p>
        </w:tc>
      </w:tr>
      <w:tr w:rsidR="003C34F6" w:rsidRPr="00FA2FBA" w:rsidTr="00FC23F9">
        <w:trPr>
          <w:trHeight w:val="245"/>
        </w:trPr>
        <w:tc>
          <w:tcPr>
            <w:tcW w:w="4088" w:type="dxa"/>
            <w:shd w:val="clear" w:color="auto" w:fill="auto"/>
            <w:noWrap/>
            <w:vAlign w:val="center"/>
            <w:hideMark/>
          </w:tcPr>
          <w:p w:rsidR="003C34F6" w:rsidRPr="00FA2FBA" w:rsidRDefault="003C34F6" w:rsidP="003C34F6">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161,463</w:t>
            </w:r>
          </w:p>
        </w:tc>
        <w:tc>
          <w:tcPr>
            <w:tcW w:w="737" w:type="dxa"/>
            <w:shd w:val="clear" w:color="auto" w:fill="auto"/>
            <w:tcMar>
              <w:left w:w="43" w:type="dxa"/>
              <w:right w:w="43" w:type="dxa"/>
            </w:tcMar>
            <w:vAlign w:val="center"/>
          </w:tcPr>
          <w:p w:rsidR="003C34F6" w:rsidRDefault="003C34F6" w:rsidP="003C34F6">
            <w:pPr>
              <w:jc w:val="right"/>
              <w:rPr>
                <w:sz w:val="14"/>
                <w:szCs w:val="14"/>
              </w:rPr>
            </w:pPr>
            <w:r>
              <w:rPr>
                <w:sz w:val="14"/>
                <w:szCs w:val="14"/>
              </w:rPr>
              <w:t>394,703</w:t>
            </w:r>
          </w:p>
        </w:tc>
        <w:tc>
          <w:tcPr>
            <w:tcW w:w="815" w:type="dxa"/>
            <w:shd w:val="clear" w:color="auto" w:fill="auto"/>
            <w:tcMar>
              <w:left w:w="43" w:type="dxa"/>
              <w:right w:w="43" w:type="dxa"/>
            </w:tcMar>
            <w:vAlign w:val="center"/>
          </w:tcPr>
          <w:p w:rsidR="003C34F6" w:rsidRDefault="003C34F6" w:rsidP="003C34F6">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252,768</w:t>
            </w:r>
          </w:p>
        </w:tc>
        <w:tc>
          <w:tcPr>
            <w:tcW w:w="720" w:type="dxa"/>
            <w:shd w:val="clear" w:color="auto" w:fill="auto"/>
            <w:tcMar>
              <w:left w:w="43" w:type="dxa"/>
              <w:right w:w="43" w:type="dxa"/>
            </w:tcMar>
            <w:vAlign w:val="center"/>
          </w:tcPr>
          <w:p w:rsidR="003C34F6" w:rsidRDefault="003C34F6" w:rsidP="003C34F6">
            <w:pPr>
              <w:jc w:val="right"/>
              <w:rPr>
                <w:sz w:val="14"/>
                <w:szCs w:val="14"/>
              </w:rPr>
            </w:pPr>
            <w:r>
              <w:rPr>
                <w:sz w:val="14"/>
                <w:szCs w:val="14"/>
              </w:rPr>
              <w:t>177,110</w:t>
            </w:r>
          </w:p>
        </w:tc>
        <w:tc>
          <w:tcPr>
            <w:tcW w:w="715" w:type="dxa"/>
            <w:shd w:val="clear" w:color="auto" w:fill="auto"/>
            <w:tcMar>
              <w:left w:w="43" w:type="dxa"/>
              <w:right w:w="43" w:type="dxa"/>
            </w:tcMar>
            <w:vAlign w:val="center"/>
            <w:hideMark/>
          </w:tcPr>
          <w:p w:rsidR="003C34F6" w:rsidRDefault="003C34F6" w:rsidP="003C34F6">
            <w:pPr>
              <w:jc w:val="right"/>
              <w:rPr>
                <w:sz w:val="14"/>
                <w:szCs w:val="14"/>
              </w:rPr>
            </w:pPr>
            <w:r>
              <w:rPr>
                <w:sz w:val="14"/>
                <w:szCs w:val="14"/>
              </w:rPr>
              <w:t>186,527</w:t>
            </w:r>
          </w:p>
        </w:tc>
        <w:tc>
          <w:tcPr>
            <w:tcW w:w="849" w:type="dxa"/>
            <w:shd w:val="clear" w:color="auto" w:fill="auto"/>
            <w:tcMar>
              <w:left w:w="43" w:type="dxa"/>
              <w:right w:w="43" w:type="dxa"/>
            </w:tcMar>
            <w:vAlign w:val="center"/>
          </w:tcPr>
          <w:p w:rsidR="003C34F6" w:rsidRDefault="003C34F6" w:rsidP="003C34F6">
            <w:pPr>
              <w:jc w:val="right"/>
              <w:rPr>
                <w:sz w:val="14"/>
                <w:szCs w:val="14"/>
              </w:rPr>
            </w:pPr>
            <w:r>
              <w:rPr>
                <w:sz w:val="14"/>
                <w:szCs w:val="14"/>
              </w:rPr>
              <w:t>240,550</w:t>
            </w:r>
          </w:p>
        </w:tc>
        <w:tc>
          <w:tcPr>
            <w:tcW w:w="686" w:type="dxa"/>
            <w:shd w:val="clear" w:color="auto" w:fill="auto"/>
            <w:tcMar>
              <w:left w:w="43" w:type="dxa"/>
              <w:right w:w="43" w:type="dxa"/>
            </w:tcMar>
            <w:vAlign w:val="center"/>
          </w:tcPr>
          <w:p w:rsidR="003C34F6" w:rsidRDefault="003C34F6" w:rsidP="003C34F6">
            <w:pPr>
              <w:jc w:val="right"/>
              <w:rPr>
                <w:sz w:val="14"/>
                <w:szCs w:val="14"/>
              </w:rPr>
            </w:pPr>
            <w:r>
              <w:rPr>
                <w:sz w:val="14"/>
                <w:szCs w:val="14"/>
              </w:rPr>
              <w:t>202,006</w:t>
            </w:r>
          </w:p>
        </w:tc>
        <w:tc>
          <w:tcPr>
            <w:tcW w:w="720" w:type="dxa"/>
            <w:shd w:val="clear" w:color="auto" w:fill="auto"/>
            <w:noWrap/>
            <w:tcMar>
              <w:left w:w="43" w:type="dxa"/>
              <w:right w:w="43" w:type="dxa"/>
            </w:tcMar>
            <w:vAlign w:val="center"/>
          </w:tcPr>
          <w:p w:rsidR="003C34F6" w:rsidRDefault="003C34F6" w:rsidP="003C34F6">
            <w:pPr>
              <w:jc w:val="right"/>
              <w:rPr>
                <w:sz w:val="14"/>
                <w:szCs w:val="14"/>
              </w:rPr>
            </w:pPr>
            <w:r>
              <w:rPr>
                <w:sz w:val="14"/>
                <w:szCs w:val="14"/>
              </w:rPr>
              <w:t>168,570</w:t>
            </w:r>
          </w:p>
        </w:tc>
      </w:tr>
      <w:tr w:rsidR="003C34F6" w:rsidRPr="00FA2FBA" w:rsidTr="00FC23F9">
        <w:trPr>
          <w:trHeight w:val="245"/>
        </w:trPr>
        <w:tc>
          <w:tcPr>
            <w:tcW w:w="4088" w:type="dxa"/>
            <w:tcBorders>
              <w:bottom w:val="single" w:sz="12" w:space="0" w:color="auto"/>
            </w:tcBorders>
            <w:shd w:val="clear" w:color="auto" w:fill="auto"/>
            <w:noWrap/>
            <w:vAlign w:val="center"/>
            <w:hideMark/>
          </w:tcPr>
          <w:p w:rsidR="003C34F6" w:rsidRPr="00FA2FBA" w:rsidRDefault="003C34F6" w:rsidP="003C34F6">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3C34F6" w:rsidRDefault="003C34F6" w:rsidP="003C34F6">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3C34F6" w:rsidRDefault="003C34F6" w:rsidP="003C34F6">
            <w:pPr>
              <w:jc w:val="right"/>
              <w:rPr>
                <w:i/>
                <w:iCs/>
                <w:sz w:val="14"/>
                <w:szCs w:val="14"/>
              </w:rPr>
            </w:pPr>
            <w:r>
              <w:rPr>
                <w:i/>
                <w:iCs/>
                <w:sz w:val="14"/>
                <w:szCs w:val="14"/>
              </w:rPr>
              <w:t>635,628</w:t>
            </w:r>
          </w:p>
        </w:tc>
        <w:tc>
          <w:tcPr>
            <w:tcW w:w="720" w:type="dxa"/>
            <w:tcBorders>
              <w:bottom w:val="single" w:sz="12" w:space="0" w:color="auto"/>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634,236</w:t>
            </w:r>
          </w:p>
        </w:tc>
        <w:tc>
          <w:tcPr>
            <w:tcW w:w="715" w:type="dxa"/>
            <w:tcBorders>
              <w:bottom w:val="single" w:sz="12" w:space="0" w:color="auto"/>
            </w:tcBorders>
            <w:shd w:val="clear" w:color="auto" w:fill="auto"/>
            <w:tcMar>
              <w:left w:w="43" w:type="dxa"/>
              <w:right w:w="43" w:type="dxa"/>
            </w:tcMar>
            <w:vAlign w:val="center"/>
            <w:hideMark/>
          </w:tcPr>
          <w:p w:rsidR="003C34F6" w:rsidRDefault="003C34F6" w:rsidP="003C34F6">
            <w:pPr>
              <w:jc w:val="right"/>
              <w:rPr>
                <w:i/>
                <w:iCs/>
                <w:sz w:val="14"/>
                <w:szCs w:val="14"/>
              </w:rPr>
            </w:pPr>
            <w:r>
              <w:rPr>
                <w:i/>
                <w:iCs/>
                <w:sz w:val="14"/>
                <w:szCs w:val="14"/>
              </w:rPr>
              <w:t>351,796</w:t>
            </w:r>
          </w:p>
        </w:tc>
        <w:tc>
          <w:tcPr>
            <w:tcW w:w="849" w:type="dxa"/>
            <w:tcBorders>
              <w:bottom w:val="single" w:sz="12" w:space="0" w:color="auto"/>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459,341</w:t>
            </w:r>
          </w:p>
        </w:tc>
        <w:tc>
          <w:tcPr>
            <w:tcW w:w="686" w:type="dxa"/>
            <w:tcBorders>
              <w:bottom w:val="single" w:sz="12" w:space="0" w:color="auto"/>
            </w:tcBorders>
            <w:shd w:val="clear" w:color="auto" w:fill="auto"/>
            <w:tcMar>
              <w:left w:w="43" w:type="dxa"/>
              <w:right w:w="43" w:type="dxa"/>
            </w:tcMar>
            <w:vAlign w:val="center"/>
          </w:tcPr>
          <w:p w:rsidR="003C34F6" w:rsidRDefault="003C34F6" w:rsidP="003C34F6">
            <w:pPr>
              <w:jc w:val="right"/>
              <w:rPr>
                <w:i/>
                <w:iCs/>
                <w:sz w:val="14"/>
                <w:szCs w:val="14"/>
              </w:rPr>
            </w:pPr>
            <w:r>
              <w:rPr>
                <w:i/>
                <w:iCs/>
                <w:sz w:val="14"/>
                <w:szCs w:val="14"/>
              </w:rPr>
              <w:t>450,726</w:t>
            </w:r>
          </w:p>
        </w:tc>
        <w:tc>
          <w:tcPr>
            <w:tcW w:w="720" w:type="dxa"/>
            <w:tcBorders>
              <w:bottom w:val="single" w:sz="12" w:space="0" w:color="auto"/>
            </w:tcBorders>
            <w:shd w:val="clear" w:color="auto" w:fill="auto"/>
            <w:noWrap/>
            <w:tcMar>
              <w:left w:w="43" w:type="dxa"/>
              <w:right w:w="43" w:type="dxa"/>
            </w:tcMar>
            <w:vAlign w:val="center"/>
          </w:tcPr>
          <w:p w:rsidR="003C34F6" w:rsidRDefault="003C34F6" w:rsidP="003C34F6">
            <w:pPr>
              <w:jc w:val="right"/>
              <w:rPr>
                <w:i/>
                <w:iCs/>
                <w:sz w:val="14"/>
                <w:szCs w:val="14"/>
              </w:rPr>
            </w:pPr>
            <w:r>
              <w:rPr>
                <w:i/>
                <w:iCs/>
                <w:sz w:val="14"/>
                <w:szCs w:val="14"/>
              </w:rPr>
              <w:t>450,975</w:t>
            </w:r>
          </w:p>
        </w:tc>
      </w:tr>
      <w:tr w:rsidR="00FC23F9" w:rsidRPr="00FA2FBA" w:rsidTr="00045D0C">
        <w:trPr>
          <w:trHeight w:val="375"/>
        </w:trPr>
        <w:tc>
          <w:tcPr>
            <w:tcW w:w="10728" w:type="dxa"/>
            <w:gridSpan w:val="10"/>
            <w:tcBorders>
              <w:top w:val="single" w:sz="12" w:space="0" w:color="auto"/>
            </w:tcBorders>
            <w:shd w:val="clear" w:color="auto" w:fill="auto"/>
            <w:noWrap/>
            <w:hideMark/>
          </w:tcPr>
          <w:p w:rsidR="00FC23F9" w:rsidRDefault="00FC23F9" w:rsidP="00FC23F9">
            <w:pPr>
              <w:jc w:val="right"/>
              <w:rPr>
                <w:b/>
                <w:bCs/>
                <w:color w:val="auto"/>
                <w:sz w:val="14"/>
                <w:szCs w:val="14"/>
              </w:rPr>
            </w:pPr>
            <w:r>
              <w:rPr>
                <w:sz w:val="14"/>
                <w:szCs w:val="14"/>
              </w:rPr>
              <w:t>Source: Statistics &amp; Data Warehouse Department SBP</w:t>
            </w:r>
          </w:p>
          <w:p w:rsidR="00FC23F9" w:rsidRPr="00FA2FBA" w:rsidRDefault="00FC23F9" w:rsidP="00FC23F9">
            <w:pPr>
              <w:jc w:val="left"/>
              <w:rPr>
                <w:rFonts w:ascii="Calibri" w:hAnsi="Calibri"/>
                <w:sz w:val="22"/>
                <w:szCs w:val="22"/>
              </w:rPr>
            </w:pPr>
            <w:r w:rsidRPr="004F1CC1">
              <w:rPr>
                <w:b/>
                <w:bCs/>
                <w:color w:val="auto"/>
                <w:sz w:val="14"/>
                <w:szCs w:val="14"/>
              </w:rPr>
              <w:t xml:space="preserve">Note :  </w:t>
            </w:r>
          </w:p>
        </w:tc>
      </w:tr>
      <w:tr w:rsidR="00FC23F9" w:rsidRPr="00FA2FBA" w:rsidTr="00045D0C">
        <w:trPr>
          <w:trHeight w:val="423"/>
        </w:trPr>
        <w:tc>
          <w:tcPr>
            <w:tcW w:w="10728" w:type="dxa"/>
            <w:gridSpan w:val="10"/>
            <w:shd w:val="clear" w:color="auto" w:fill="auto"/>
            <w:noWrap/>
            <w:vAlign w:val="center"/>
            <w:hideMark/>
          </w:tcPr>
          <w:p w:rsidR="00FC23F9" w:rsidRPr="00B26D66" w:rsidRDefault="00FC23F9" w:rsidP="00B26D66">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FC23F9" w:rsidRDefault="00FC23F9" w:rsidP="00B26D66">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1265F6" w:rsidRDefault="001265F6" w:rsidP="005B4737">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B26D66" w:rsidRPr="00B26D66" w:rsidRDefault="00B26D66" w:rsidP="001265F6">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FC23F9" w:rsidRPr="00FA2FBA" w:rsidTr="00045D0C">
        <w:trPr>
          <w:trHeight w:val="268"/>
        </w:trPr>
        <w:tc>
          <w:tcPr>
            <w:tcW w:w="10728" w:type="dxa"/>
            <w:gridSpan w:val="10"/>
            <w:shd w:val="clear" w:color="auto" w:fill="auto"/>
            <w:noWrap/>
            <w:vAlign w:val="center"/>
            <w:hideMark/>
          </w:tcPr>
          <w:p w:rsidR="00FC23F9" w:rsidRPr="00CE511E" w:rsidRDefault="00BC3E3E" w:rsidP="00BC3E3E">
            <w:pPr>
              <w:ind w:left="288"/>
              <w:jc w:val="left"/>
              <w:rPr>
                <w:color w:val="0000FF"/>
                <w:sz w:val="14"/>
                <w:szCs w:val="14"/>
                <w:u w:val="single"/>
              </w:rPr>
            </w:pPr>
            <w:r>
              <w:rPr>
                <w:color w:val="auto"/>
                <w:sz w:val="14"/>
                <w:szCs w:val="14"/>
              </w:rPr>
              <w:t xml:space="preserve">  </w:t>
            </w:r>
            <w:bookmarkStart w:id="0" w:name="_GoBack"/>
            <w:bookmarkEnd w:id="0"/>
            <w:r w:rsidR="00FC23F9" w:rsidRPr="00CE511E">
              <w:rPr>
                <w:color w:val="auto"/>
                <w:sz w:val="14"/>
                <w:szCs w:val="14"/>
              </w:rPr>
              <w:t xml:space="preserve">Archive link: </w:t>
            </w:r>
            <w:hyperlink r:id="rId10" w:history="1">
              <w:r w:rsidR="00FC23F9"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EF6543" w:rsidRPr="008245E8" w:rsidTr="00EF6543">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EF6543" w:rsidRPr="008245E8" w:rsidRDefault="00EF6543"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EF6543" w:rsidRPr="002D5FD9" w:rsidRDefault="00EF6543"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EF6543" w:rsidRPr="002D5FD9" w:rsidRDefault="00EF6543"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EF6543" w:rsidRPr="002D5FD9" w:rsidRDefault="00EF6543" w:rsidP="00C60409">
            <w:pPr>
              <w:jc w:val="right"/>
              <w:rPr>
                <w:b/>
                <w:bCs/>
                <w:szCs w:val="16"/>
              </w:rPr>
            </w:pPr>
            <w:r>
              <w:rPr>
                <w:b/>
                <w:bCs/>
                <w:szCs w:val="16"/>
              </w:rPr>
              <w:t>FY20</w:t>
            </w:r>
          </w:p>
        </w:tc>
        <w:tc>
          <w:tcPr>
            <w:tcW w:w="3106" w:type="dxa"/>
            <w:gridSpan w:val="4"/>
            <w:tcBorders>
              <w:top w:val="nil"/>
              <w:left w:val="single" w:sz="4" w:space="0" w:color="auto"/>
              <w:bottom w:val="single" w:sz="4" w:space="0" w:color="auto"/>
              <w:right w:val="single" w:sz="4" w:space="0" w:color="auto"/>
            </w:tcBorders>
            <w:shd w:val="clear" w:color="auto" w:fill="auto"/>
            <w:vAlign w:val="center"/>
          </w:tcPr>
          <w:p w:rsidR="00EF6543" w:rsidRPr="008245E8" w:rsidRDefault="00EF6543" w:rsidP="005251D4">
            <w:pPr>
              <w:rPr>
                <w:b/>
                <w:bCs/>
                <w:color w:val="auto"/>
                <w:szCs w:val="16"/>
              </w:rPr>
            </w:pPr>
            <w:r>
              <w:rPr>
                <w:b/>
                <w:bCs/>
                <w:color w:val="auto"/>
                <w:szCs w:val="16"/>
              </w:rPr>
              <w:t>2020</w:t>
            </w:r>
          </w:p>
        </w:tc>
        <w:tc>
          <w:tcPr>
            <w:tcW w:w="1620" w:type="dxa"/>
            <w:gridSpan w:val="2"/>
            <w:tcBorders>
              <w:top w:val="single" w:sz="12" w:space="0" w:color="auto"/>
              <w:left w:val="single" w:sz="4" w:space="0" w:color="auto"/>
              <w:bottom w:val="single" w:sz="4" w:space="0" w:color="auto"/>
              <w:right w:val="nil"/>
            </w:tcBorders>
            <w:shd w:val="clear" w:color="auto" w:fill="auto"/>
            <w:vAlign w:val="center"/>
          </w:tcPr>
          <w:p w:rsidR="00EF6543" w:rsidRPr="008245E8" w:rsidRDefault="00EF6543" w:rsidP="005251D4">
            <w:pPr>
              <w:rPr>
                <w:b/>
                <w:bCs/>
                <w:color w:val="auto"/>
                <w:szCs w:val="16"/>
              </w:rPr>
            </w:pPr>
            <w:r>
              <w:rPr>
                <w:b/>
                <w:bCs/>
                <w:color w:val="auto"/>
                <w:szCs w:val="16"/>
              </w:rPr>
              <w:t>2021</w:t>
            </w:r>
          </w:p>
        </w:tc>
      </w:tr>
      <w:tr w:rsidR="00EF6543" w:rsidRPr="008245E8" w:rsidTr="00EF6543">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EF6543" w:rsidRPr="008245E8" w:rsidRDefault="00EF6543" w:rsidP="00EF6543">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F6543" w:rsidRPr="006619BF" w:rsidRDefault="00EF6543" w:rsidP="00EF6543">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F6543" w:rsidRPr="006619BF" w:rsidRDefault="00EF6543" w:rsidP="00EF6543">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F6543" w:rsidRPr="006619BF" w:rsidRDefault="00EF6543" w:rsidP="00EF6543">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F6543" w:rsidRPr="006619BF" w:rsidRDefault="00EF6543" w:rsidP="00EF6543">
            <w:pPr>
              <w:jc w:val="right"/>
              <w:rPr>
                <w:b/>
                <w:color w:val="auto"/>
                <w:sz w:val="14"/>
                <w:szCs w:val="14"/>
              </w:rPr>
            </w:pPr>
            <w:r>
              <w:rPr>
                <w:b/>
                <w:color w:val="auto"/>
                <w:sz w:val="14"/>
                <w:szCs w:val="14"/>
              </w:rPr>
              <w:t>Jan</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F6543" w:rsidRPr="006619BF" w:rsidRDefault="00EF6543" w:rsidP="00EF6543">
            <w:pPr>
              <w:jc w:val="right"/>
              <w:rPr>
                <w:b/>
                <w:color w:val="auto"/>
                <w:sz w:val="14"/>
                <w:szCs w:val="14"/>
              </w:rPr>
            </w:pPr>
            <w:r>
              <w:rPr>
                <w:b/>
                <w:color w:val="auto"/>
                <w:sz w:val="14"/>
                <w:szCs w:val="14"/>
              </w:rPr>
              <w:t>Feb</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F6543" w:rsidRPr="006619BF" w:rsidRDefault="00EF6543" w:rsidP="00EF6543">
            <w:pPr>
              <w:jc w:val="right"/>
              <w:rPr>
                <w:b/>
                <w:color w:val="auto"/>
                <w:sz w:val="14"/>
                <w:szCs w:val="14"/>
              </w:rPr>
            </w:pPr>
            <w:r>
              <w:rPr>
                <w:b/>
                <w:color w:val="auto"/>
                <w:sz w:val="14"/>
                <w:szCs w:val="14"/>
              </w:rPr>
              <w:t>Nov</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F6543" w:rsidRPr="006619BF" w:rsidRDefault="00EF6543" w:rsidP="00EF6543">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F6543" w:rsidRPr="006619BF" w:rsidRDefault="00EF6543" w:rsidP="00EF6543">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EF6543" w:rsidRPr="00EF6543" w:rsidRDefault="00EF6543" w:rsidP="00EF6543">
            <w:pPr>
              <w:jc w:val="right"/>
              <w:rPr>
                <w:b/>
                <w:color w:val="auto"/>
                <w:sz w:val="14"/>
                <w:szCs w:val="14"/>
                <w:vertAlign w:val="superscript"/>
              </w:rPr>
            </w:pPr>
            <w:r>
              <w:rPr>
                <w:b/>
                <w:color w:val="auto"/>
                <w:sz w:val="14"/>
                <w:szCs w:val="14"/>
              </w:rPr>
              <w:t>Feb</w:t>
            </w:r>
            <w:r>
              <w:rPr>
                <w:b/>
                <w:color w:val="auto"/>
                <w:sz w:val="14"/>
                <w:szCs w:val="14"/>
                <w:vertAlign w:val="superscript"/>
              </w:rPr>
              <w:t xml:space="preserve"> P</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(143,800)</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(152,809)</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70,005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65,877</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72,806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54,270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620,928</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602,853</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795,082</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811,087</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822,965</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827,971</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36,670</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41,979</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82,985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83,703</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83,292</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76,380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221,636</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183,723</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309,499</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308,940</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320,119</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324,478</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147,996</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149,042</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142,210</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150,608</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158,046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161,533</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1,673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11,899</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21,528</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29,045</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32,265</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33,917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781</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964</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1,449</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1,643</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996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1,264</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206,275</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209,391</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231,181</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230,562</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221,504</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223,779</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5,896</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5,854</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6,231</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6,586</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6,744</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6,620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764,728</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755,662</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725,076</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745,210</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750,159</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773,701</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285,464</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278,397</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332,412</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354,785</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356,518</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368,315</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466,757</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461,667</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380,394</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378,550</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382,836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388,203</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1,297</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1,750</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988</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480</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613</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11,210</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13,848</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11,282</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11,359</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10,326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16,570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1,235,946</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1,159,808</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1,428,229</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1,518,205</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1,372,115</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1,342,893</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264,574</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249,131</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368,665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351,702</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311,879</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325,476</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901,748</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889,360</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1,038,800</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1,103,088</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1,032,039</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1,013,746</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69,623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21,317</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20,763</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63,415</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28,196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3,670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6,736,589</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7,006,565</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9,249,995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9,510,575</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9,476,199</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9,651,787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7,166,612</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7,475,045</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9,715,305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10,007,397</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9,988,547</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10,186,897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8,372,071</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8,709,448</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11,107,674</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11,412,021</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11,401,243</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11,589,377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8,088,537</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8,435,795</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10,829,358</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11,128,879</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11,122,120</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11,342,714</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283,534</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273,653</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278,316</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283,143</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279,123</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246,663</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1,205,459</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1,234,403</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1,392,370</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1,404,624</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1,412,696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1,402,480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1,205,459</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1,234,403</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1,392,370</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1,404,624</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1,412,696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1,402,480</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(430,023)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(468,479)</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(465,309)</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(496,822)</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(512,348)</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(535,110)</w:t>
            </w:r>
          </w:p>
        </w:tc>
      </w:tr>
      <w:tr w:rsidR="00EF6543" w:rsidRPr="008245E8" w:rsidTr="00EF6543">
        <w:trPr>
          <w:trHeight w:val="363"/>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490,980</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487,200</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559,206</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556,653</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550,688</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532,617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EF6543" w:rsidRDefault="0088002B" w:rsidP="00EF6543">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i/>
                <w:iCs/>
                <w:sz w:val="14"/>
                <w:szCs w:val="14"/>
              </w:rPr>
            </w:pPr>
            <w:r>
              <w:rPr>
                <w:i/>
                <w:iCs/>
                <w:sz w:val="14"/>
                <w:szCs w:val="14"/>
              </w:rPr>
              <w:t>..</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490,980</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487,200</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559,206</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556,653</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550,688</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532,617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921,003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955,679</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1,024,516</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1,053,474</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1,063,036</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1,067,728</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911,970</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946,545</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1,017,589</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1,046,607</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1,056,120</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1,060,767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9,033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9,134</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6,927</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6,867</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6,917</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6,961</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8,469,364</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8,567,057</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b/>
                <w:bCs/>
                <w:sz w:val="14"/>
                <w:szCs w:val="14"/>
              </w:rPr>
            </w:pPr>
            <w:r>
              <w:rPr>
                <w:b/>
                <w:bCs/>
                <w:sz w:val="14"/>
                <w:szCs w:val="14"/>
              </w:rPr>
              <w:t>8,588,445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8,890,849</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b/>
                <w:bCs/>
                <w:sz w:val="14"/>
                <w:szCs w:val="14"/>
              </w:rPr>
            </w:pPr>
            <w:r>
              <w:rPr>
                <w:b/>
                <w:bCs/>
                <w:sz w:val="14"/>
                <w:szCs w:val="14"/>
              </w:rPr>
              <w:t>8,885,394</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b/>
                <w:bCs/>
                <w:sz w:val="14"/>
                <w:szCs w:val="14"/>
              </w:rPr>
            </w:pPr>
            <w:r>
              <w:rPr>
                <w:b/>
                <w:bCs/>
                <w:sz w:val="14"/>
                <w:szCs w:val="14"/>
              </w:rPr>
              <w:t>9,004,834</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97,726</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98,508</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96,760</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100,848</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101,913</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100,737</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1,618,523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1,633,257</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1,683,475</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1,690,742</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1,719,238</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1,732,788</w:t>
            </w:r>
          </w:p>
        </w:tc>
      </w:tr>
      <w:tr w:rsidR="00EF6543" w:rsidRPr="008245E8" w:rsidTr="00EF6543">
        <w:trPr>
          <w:trHeight w:val="245"/>
        </w:trPr>
        <w:tc>
          <w:tcPr>
            <w:tcW w:w="2928" w:type="dxa"/>
            <w:tcBorders>
              <w:top w:val="nil"/>
              <w:left w:val="nil"/>
              <w:bottom w:val="nil"/>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5,330,493</w:t>
            </w:r>
          </w:p>
        </w:tc>
        <w:tc>
          <w:tcPr>
            <w:tcW w:w="864"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5,413,070</w:t>
            </w:r>
          </w:p>
        </w:tc>
        <w:tc>
          <w:tcPr>
            <w:tcW w:w="716" w:type="dxa"/>
            <w:tcBorders>
              <w:top w:val="nil"/>
              <w:left w:val="nil"/>
              <w:bottom w:val="nil"/>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5,313,264</w:t>
            </w:r>
          </w:p>
        </w:tc>
        <w:tc>
          <w:tcPr>
            <w:tcW w:w="716"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5,553,238</w:t>
            </w:r>
          </w:p>
        </w:tc>
        <w:tc>
          <w:tcPr>
            <w:tcW w:w="810" w:type="dxa"/>
            <w:tcBorders>
              <w:top w:val="nil"/>
              <w:left w:val="nil"/>
              <w:bottom w:val="nil"/>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5,537,541</w:t>
            </w:r>
          </w:p>
        </w:tc>
        <w:tc>
          <w:tcPr>
            <w:tcW w:w="810" w:type="dxa"/>
            <w:tcBorders>
              <w:top w:val="nil"/>
              <w:left w:val="nil"/>
              <w:bottom w:val="nil"/>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5,618,957</w:t>
            </w:r>
          </w:p>
        </w:tc>
      </w:tr>
      <w:tr w:rsidR="00EF6543"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EF6543" w:rsidRPr="008245E8" w:rsidRDefault="00EF6543" w:rsidP="00EF6543">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1,422,621</w:t>
            </w:r>
          </w:p>
        </w:tc>
        <w:tc>
          <w:tcPr>
            <w:tcW w:w="864" w:type="dxa"/>
            <w:tcBorders>
              <w:top w:val="nil"/>
              <w:left w:val="nil"/>
              <w:bottom w:val="single" w:sz="12" w:space="0" w:color="auto"/>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1,422,223</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EF6543" w:rsidRDefault="00EF6543" w:rsidP="00EF6543">
            <w:pPr>
              <w:jc w:val="right"/>
              <w:rPr>
                <w:sz w:val="14"/>
                <w:szCs w:val="14"/>
              </w:rPr>
            </w:pPr>
            <w:r>
              <w:rPr>
                <w:sz w:val="14"/>
                <w:szCs w:val="14"/>
              </w:rPr>
              <w:t>1,494,946</w:t>
            </w:r>
          </w:p>
        </w:tc>
        <w:tc>
          <w:tcPr>
            <w:tcW w:w="716" w:type="dxa"/>
            <w:tcBorders>
              <w:top w:val="nil"/>
              <w:left w:val="nil"/>
              <w:bottom w:val="single" w:sz="12" w:space="0" w:color="auto"/>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1,546,021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EF6543" w:rsidRDefault="00EF6543" w:rsidP="00EF6543">
            <w:pPr>
              <w:jc w:val="right"/>
              <w:rPr>
                <w:sz w:val="14"/>
                <w:szCs w:val="14"/>
              </w:rPr>
            </w:pPr>
            <w:r>
              <w:rPr>
                <w:sz w:val="14"/>
                <w:szCs w:val="14"/>
              </w:rPr>
              <w:t>1,526,702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F6543" w:rsidRDefault="00EF6543" w:rsidP="00EF6543">
            <w:pPr>
              <w:jc w:val="right"/>
              <w:rPr>
                <w:sz w:val="14"/>
                <w:szCs w:val="14"/>
              </w:rPr>
            </w:pPr>
            <w:r>
              <w:rPr>
                <w:sz w:val="14"/>
                <w:szCs w:val="14"/>
              </w:rPr>
              <w:t>1,552,352</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314" w:type="dxa"/>
        <w:tblLayout w:type="fixed"/>
        <w:tblLook w:val="04A0" w:firstRow="1" w:lastRow="0" w:firstColumn="1" w:lastColumn="0" w:noHBand="0" w:noVBand="1"/>
      </w:tblPr>
      <w:tblGrid>
        <w:gridCol w:w="3076"/>
        <w:gridCol w:w="812"/>
        <w:gridCol w:w="810"/>
        <w:gridCol w:w="810"/>
        <w:gridCol w:w="720"/>
        <w:gridCol w:w="810"/>
        <w:gridCol w:w="720"/>
        <w:gridCol w:w="855"/>
        <w:gridCol w:w="851"/>
        <w:gridCol w:w="850"/>
      </w:tblGrid>
      <w:tr w:rsidR="00D118D7" w:rsidRPr="00E5171C" w:rsidTr="00D118D7">
        <w:trPr>
          <w:trHeight w:val="245"/>
        </w:trPr>
        <w:tc>
          <w:tcPr>
            <w:tcW w:w="10314"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D118D7">
        <w:trPr>
          <w:trHeight w:val="245"/>
        </w:trPr>
        <w:tc>
          <w:tcPr>
            <w:tcW w:w="10314"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D118D7" w:rsidRPr="00E5171C" w:rsidTr="00D118D7">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118D7" w:rsidRPr="00E5171C" w:rsidRDefault="00D118D7" w:rsidP="00D118D7">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118D7" w:rsidRPr="002D5FD9" w:rsidRDefault="00D118D7" w:rsidP="00D118D7">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FY20</w:t>
            </w:r>
          </w:p>
        </w:tc>
        <w:tc>
          <w:tcPr>
            <w:tcW w:w="3105" w:type="dxa"/>
            <w:gridSpan w:val="4"/>
            <w:tcBorders>
              <w:top w:val="nil"/>
              <w:left w:val="single" w:sz="4" w:space="0" w:color="auto"/>
              <w:bottom w:val="single" w:sz="4" w:space="0" w:color="auto"/>
              <w:right w:val="single" w:sz="4" w:space="0" w:color="auto"/>
            </w:tcBorders>
            <w:shd w:val="clear" w:color="auto" w:fill="auto"/>
            <w:vAlign w:val="center"/>
          </w:tcPr>
          <w:p w:rsidR="00D118D7" w:rsidRPr="00E5171C" w:rsidRDefault="00D118D7" w:rsidP="00D118D7">
            <w:pPr>
              <w:rPr>
                <w:b/>
                <w:bCs/>
                <w:color w:val="auto"/>
                <w:szCs w:val="16"/>
              </w:rPr>
            </w:pPr>
            <w:r>
              <w:rPr>
                <w:b/>
                <w:bCs/>
                <w:color w:val="auto"/>
                <w:szCs w:val="16"/>
              </w:rPr>
              <w:t>2020</w:t>
            </w:r>
          </w:p>
        </w:tc>
        <w:tc>
          <w:tcPr>
            <w:tcW w:w="1701" w:type="dxa"/>
            <w:gridSpan w:val="2"/>
            <w:tcBorders>
              <w:top w:val="single" w:sz="12" w:space="0" w:color="auto"/>
              <w:left w:val="single" w:sz="4" w:space="0" w:color="auto"/>
              <w:bottom w:val="single" w:sz="4" w:space="0" w:color="auto"/>
              <w:right w:val="nil"/>
            </w:tcBorders>
            <w:shd w:val="clear" w:color="auto" w:fill="auto"/>
            <w:vAlign w:val="center"/>
          </w:tcPr>
          <w:p w:rsidR="00D118D7" w:rsidRPr="00E5171C" w:rsidRDefault="00D118D7" w:rsidP="00D118D7">
            <w:pPr>
              <w:rPr>
                <w:b/>
                <w:bCs/>
                <w:color w:val="auto"/>
                <w:szCs w:val="16"/>
              </w:rPr>
            </w:pPr>
            <w:r>
              <w:rPr>
                <w:b/>
                <w:bCs/>
                <w:color w:val="auto"/>
                <w:szCs w:val="16"/>
              </w:rPr>
              <w:t>2021</w:t>
            </w:r>
          </w:p>
        </w:tc>
      </w:tr>
      <w:tr w:rsidR="00D118D7" w:rsidRPr="00E5171C" w:rsidTr="00592A2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D118D7" w:rsidRPr="00E5171C" w:rsidRDefault="00D118D7" w:rsidP="00D118D7">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118D7" w:rsidRPr="006619BF" w:rsidRDefault="00D118D7" w:rsidP="00D118D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118D7" w:rsidRPr="006619BF" w:rsidRDefault="00D118D7" w:rsidP="00D118D7">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118D7" w:rsidRPr="006619BF" w:rsidRDefault="00D118D7" w:rsidP="00D118D7">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118D7" w:rsidRPr="006619BF" w:rsidRDefault="00D118D7" w:rsidP="00D118D7">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118D7" w:rsidRPr="006619BF" w:rsidRDefault="00D118D7" w:rsidP="00D118D7">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118D7" w:rsidRPr="006619BF" w:rsidRDefault="00D118D7" w:rsidP="00D118D7">
            <w:pPr>
              <w:jc w:val="right"/>
              <w:rPr>
                <w:b/>
                <w:color w:val="auto"/>
                <w:sz w:val="14"/>
                <w:szCs w:val="14"/>
              </w:rPr>
            </w:pPr>
            <w:r>
              <w:rPr>
                <w:b/>
                <w:color w:val="auto"/>
                <w:sz w:val="14"/>
                <w:szCs w:val="14"/>
              </w:rPr>
              <w:t>Nov</w:t>
            </w:r>
          </w:p>
        </w:tc>
        <w:tc>
          <w:tcPr>
            <w:tcW w:w="85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118D7" w:rsidRPr="006619BF" w:rsidRDefault="00D118D7" w:rsidP="00D118D7">
            <w:pPr>
              <w:jc w:val="right"/>
              <w:rPr>
                <w:b/>
                <w:color w:val="auto"/>
                <w:sz w:val="14"/>
                <w:szCs w:val="14"/>
              </w:rPr>
            </w:pPr>
            <w:r>
              <w:rPr>
                <w:b/>
                <w:color w:val="auto"/>
                <w:sz w:val="14"/>
                <w:szCs w:val="14"/>
              </w:rPr>
              <w:t>Dec</w:t>
            </w:r>
          </w:p>
        </w:tc>
        <w:tc>
          <w:tcPr>
            <w:tcW w:w="85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118D7" w:rsidRPr="006619BF" w:rsidRDefault="00D118D7" w:rsidP="00D118D7">
            <w:pPr>
              <w:jc w:val="right"/>
              <w:rPr>
                <w:b/>
                <w:color w:val="auto"/>
                <w:sz w:val="14"/>
                <w:szCs w:val="14"/>
              </w:rPr>
            </w:pPr>
            <w:r>
              <w:rPr>
                <w:b/>
                <w:color w:val="auto"/>
                <w:sz w:val="14"/>
                <w:szCs w:val="14"/>
              </w:rPr>
              <w:t xml:space="preserve">Jan </w:t>
            </w:r>
          </w:p>
        </w:tc>
        <w:tc>
          <w:tcPr>
            <w:tcW w:w="850" w:type="dxa"/>
            <w:tcBorders>
              <w:top w:val="single" w:sz="4" w:space="0" w:color="auto"/>
              <w:bottom w:val="single" w:sz="12" w:space="0" w:color="auto"/>
              <w:right w:val="nil"/>
            </w:tcBorders>
            <w:shd w:val="clear" w:color="auto" w:fill="auto"/>
            <w:tcMar>
              <w:left w:w="43" w:type="dxa"/>
              <w:right w:w="43" w:type="dxa"/>
            </w:tcMar>
            <w:vAlign w:val="center"/>
          </w:tcPr>
          <w:p w:rsidR="00D118D7" w:rsidRPr="00137512" w:rsidRDefault="00D118D7" w:rsidP="00D118D7">
            <w:pPr>
              <w:jc w:val="right"/>
              <w:rPr>
                <w:b/>
                <w:color w:val="auto"/>
                <w:sz w:val="14"/>
                <w:szCs w:val="14"/>
                <w:vertAlign w:val="superscript"/>
              </w:rPr>
            </w:pPr>
            <w:r>
              <w:rPr>
                <w:b/>
                <w:color w:val="auto"/>
                <w:sz w:val="14"/>
                <w:szCs w:val="14"/>
              </w:rPr>
              <w:t>Feb</w:t>
            </w:r>
            <w:r>
              <w:rPr>
                <w:b/>
                <w:color w:val="auto"/>
                <w:sz w:val="14"/>
                <w:szCs w:val="14"/>
                <w:vertAlign w:val="superscript"/>
              </w:rPr>
              <w:t xml:space="preserve"> P</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1,357,680</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1,440,372</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1,925,283</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2,078,070</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2,172,046</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2,256,965</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12,835,135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12,992,495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14,887,667</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15,399,963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15,050,721</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15,193,815</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9,662,956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9,791,900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11,375,629</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11,757,013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11,560,989</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11,706,553</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279,217</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245,109</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212,722</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299,320</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241,385</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257,143</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466,253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499,440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505,060</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519,394</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542,030</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556,298</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2,648,035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2,725,342</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3,288,128</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3,393,807</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3,277,924</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3,365,795</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6,269,452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6,322,010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7,369,718</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7,544,492</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7,499,649</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7,527,317</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3,172,179</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3,200,594</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3,512,039</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3,642,950</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3,489,732</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3,487,262</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84,687</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91,819</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87,451</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100,183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88,995</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89,590</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579,475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579,309</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653,086</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666,433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632,612</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624,869</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903,112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891,506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1,101,670</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1,187,349</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1,109,418</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1,120,533</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1,604,905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1,637,960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1,669,831</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1,688,984</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1,658,707</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1,652,270</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18</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18</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15</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14</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15</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15</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3</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3</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41,143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41,170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38,365</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36,619</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37,546</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37,726</w:t>
            </w:r>
          </w:p>
        </w:tc>
      </w:tr>
      <w:tr w:rsidR="00D118D7" w:rsidRPr="00E5171C" w:rsidTr="00D118D7">
        <w:trPr>
          <w:trHeight w:val="245"/>
        </w:trPr>
        <w:tc>
          <w:tcPr>
            <w:tcW w:w="3076" w:type="dxa"/>
            <w:tcBorders>
              <w:top w:val="nil"/>
              <w:left w:val="nil"/>
              <w:bottom w:val="nil"/>
              <w:right w:val="nil"/>
            </w:tcBorders>
            <w:shd w:val="clear" w:color="auto" w:fill="auto"/>
            <w:vAlign w:val="center"/>
            <w:hideMark/>
          </w:tcPr>
          <w:p w:rsidR="00D118D7" w:rsidRPr="00E5171C" w:rsidRDefault="00D118D7" w:rsidP="00D118D7">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21,721</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21,660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19,436</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19,346</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19,281</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i/>
                <w:iCs/>
                <w:sz w:val="14"/>
                <w:szCs w:val="14"/>
              </w:rPr>
            </w:pPr>
            <w:r>
              <w:rPr>
                <w:i/>
                <w:iCs/>
                <w:sz w:val="14"/>
                <w:szCs w:val="14"/>
              </w:rPr>
              <w:t>19,328</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21,542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24,443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33,468</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30,507</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36,209</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39,835</w:t>
            </w:r>
          </w:p>
        </w:tc>
      </w:tr>
      <w:tr w:rsidR="00D118D7" w:rsidRPr="00E5171C" w:rsidTr="00D118D7">
        <w:trPr>
          <w:trHeight w:val="245"/>
        </w:trPr>
        <w:tc>
          <w:tcPr>
            <w:tcW w:w="3076" w:type="dxa"/>
            <w:tcBorders>
              <w:top w:val="nil"/>
              <w:left w:val="nil"/>
              <w:bottom w:val="nil"/>
              <w:right w:val="nil"/>
            </w:tcBorders>
            <w:shd w:val="clear" w:color="auto" w:fill="auto"/>
            <w:vAlign w:val="center"/>
            <w:hideMark/>
          </w:tcPr>
          <w:p w:rsidR="00D118D7" w:rsidRPr="00E5171C" w:rsidRDefault="00D118D7" w:rsidP="00D118D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13,205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16,106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25,495</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22,534</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28,236</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i/>
                <w:iCs/>
                <w:sz w:val="14"/>
                <w:szCs w:val="14"/>
              </w:rPr>
            </w:pPr>
            <w:r>
              <w:rPr>
                <w:i/>
                <w:iCs/>
                <w:sz w:val="14"/>
                <w:szCs w:val="14"/>
              </w:rPr>
              <w:t>31,862</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5,865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7,767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5,842</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5,420</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5,203</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5,753</w:t>
            </w:r>
          </w:p>
        </w:tc>
      </w:tr>
      <w:tr w:rsidR="00D118D7" w:rsidRPr="00E5171C" w:rsidTr="00D118D7">
        <w:trPr>
          <w:trHeight w:val="245"/>
        </w:trPr>
        <w:tc>
          <w:tcPr>
            <w:tcW w:w="3076" w:type="dxa"/>
            <w:tcBorders>
              <w:top w:val="nil"/>
              <w:left w:val="nil"/>
              <w:bottom w:val="nil"/>
              <w:right w:val="nil"/>
            </w:tcBorders>
            <w:shd w:val="clear" w:color="auto" w:fill="auto"/>
            <w:vAlign w:val="center"/>
            <w:hideMark/>
          </w:tcPr>
          <w:p w:rsidR="00D118D7" w:rsidRPr="00E5171C" w:rsidRDefault="00D118D7" w:rsidP="00D118D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i/>
                <w:iCs/>
                <w:sz w:val="14"/>
                <w:szCs w:val="14"/>
              </w:rPr>
            </w:pPr>
            <w:r>
              <w:rPr>
                <w:i/>
                <w:iCs/>
                <w:sz w:val="14"/>
                <w:szCs w:val="14"/>
              </w:rPr>
              <w:t>-</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34</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35</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34</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26</w:t>
            </w:r>
          </w:p>
        </w:tc>
      </w:tr>
      <w:tr w:rsidR="00D118D7" w:rsidRPr="00E5171C" w:rsidTr="00D118D7">
        <w:trPr>
          <w:trHeight w:val="245"/>
        </w:trPr>
        <w:tc>
          <w:tcPr>
            <w:tcW w:w="3076" w:type="dxa"/>
            <w:tcBorders>
              <w:top w:val="nil"/>
              <w:left w:val="nil"/>
              <w:bottom w:val="nil"/>
              <w:right w:val="nil"/>
            </w:tcBorders>
            <w:shd w:val="clear" w:color="auto" w:fill="auto"/>
            <w:vAlign w:val="center"/>
            <w:hideMark/>
          </w:tcPr>
          <w:p w:rsidR="00D118D7" w:rsidRPr="00E5171C" w:rsidRDefault="00D118D7" w:rsidP="00D118D7">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1,868,293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1,890,705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2,072,787</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2,104,478</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2,123,759</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2,086,134</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650,386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646,483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652,348</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656,343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670,390</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673,176</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558,421</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568,982</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686,462</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715,269</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696,320</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669,410</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461,556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461,224</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493,954</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493,945</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508,497</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515,000</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197,930</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214,016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sz w:val="14"/>
                <w:szCs w:val="14"/>
              </w:rPr>
            </w:pPr>
            <w:r>
              <w:rPr>
                <w:sz w:val="14"/>
                <w:szCs w:val="14"/>
              </w:rPr>
              <w:t>240,022</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238,921</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sz w:val="14"/>
                <w:szCs w:val="14"/>
              </w:rPr>
            </w:pPr>
            <w:r>
              <w:rPr>
                <w:sz w:val="14"/>
                <w:szCs w:val="14"/>
              </w:rPr>
              <w:t>248,552</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sz w:val="14"/>
                <w:szCs w:val="14"/>
              </w:rPr>
            </w:pPr>
            <w:r>
              <w:rPr>
                <w:sz w:val="14"/>
                <w:szCs w:val="14"/>
              </w:rPr>
              <w:t>228,547</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168,448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183,677</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373,279</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330,466</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381,047</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433,564</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1,984,656</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2,025,453</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2,167,068</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2,184,804</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2,222,300</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2,241,353</w:t>
            </w:r>
          </w:p>
        </w:tc>
      </w:tr>
      <w:tr w:rsidR="00D118D7" w:rsidRPr="00E5171C" w:rsidTr="00D118D7">
        <w:trPr>
          <w:trHeight w:val="245"/>
        </w:trPr>
        <w:tc>
          <w:tcPr>
            <w:tcW w:w="3076" w:type="dxa"/>
            <w:tcBorders>
              <w:top w:val="nil"/>
              <w:left w:val="nil"/>
              <w:bottom w:val="nil"/>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1,706,615</w:t>
            </w:r>
          </w:p>
        </w:tc>
        <w:tc>
          <w:tcPr>
            <w:tcW w:w="810"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1,765,580</w:t>
            </w:r>
          </w:p>
        </w:tc>
        <w:tc>
          <w:tcPr>
            <w:tcW w:w="720"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1,805,527</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1,827,063</w:t>
            </w:r>
          </w:p>
        </w:tc>
        <w:tc>
          <w:tcPr>
            <w:tcW w:w="851"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1,847,891</w:t>
            </w:r>
          </w:p>
        </w:tc>
        <w:tc>
          <w:tcPr>
            <w:tcW w:w="85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1,857,820</w:t>
            </w:r>
          </w:p>
        </w:tc>
      </w:tr>
      <w:tr w:rsidR="00D118D7" w:rsidRPr="00E5171C" w:rsidTr="00D118D7">
        <w:trPr>
          <w:trHeight w:val="245"/>
        </w:trPr>
        <w:tc>
          <w:tcPr>
            <w:tcW w:w="3076" w:type="dxa"/>
            <w:tcBorders>
              <w:top w:val="nil"/>
              <w:left w:val="nil"/>
              <w:bottom w:val="single" w:sz="12" w:space="0" w:color="auto"/>
              <w:right w:val="nil"/>
            </w:tcBorders>
            <w:shd w:val="clear" w:color="auto" w:fill="auto"/>
            <w:noWrap/>
            <w:vAlign w:val="center"/>
            <w:hideMark/>
          </w:tcPr>
          <w:p w:rsidR="00D118D7" w:rsidRPr="00E5171C" w:rsidRDefault="00D118D7" w:rsidP="00D118D7">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(109,593)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(76,197)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118D7" w:rsidRDefault="00D118D7" w:rsidP="00D118D7">
            <w:pPr>
              <w:jc w:val="right"/>
              <w:rPr>
                <w:b/>
                <w:bCs/>
                <w:sz w:val="14"/>
                <w:szCs w:val="14"/>
              </w:rPr>
            </w:pPr>
            <w:r>
              <w:rPr>
                <w:b/>
                <w:bCs/>
                <w:sz w:val="14"/>
                <w:szCs w:val="14"/>
              </w:rPr>
              <w:t>11,738</w:t>
            </w:r>
          </w:p>
        </w:tc>
        <w:tc>
          <w:tcPr>
            <w:tcW w:w="855" w:type="dxa"/>
            <w:tcBorders>
              <w:top w:val="nil"/>
              <w:left w:val="nil"/>
              <w:bottom w:val="single" w:sz="12" w:space="0" w:color="auto"/>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(27,275)</w:t>
            </w:r>
          </w:p>
        </w:tc>
        <w:tc>
          <w:tcPr>
            <w:tcW w:w="851" w:type="dxa"/>
            <w:tcBorders>
              <w:top w:val="nil"/>
              <w:left w:val="nil"/>
              <w:bottom w:val="single" w:sz="12" w:space="0" w:color="auto"/>
              <w:right w:val="nil"/>
            </w:tcBorders>
            <w:shd w:val="clear" w:color="auto" w:fill="auto"/>
            <w:tcMar>
              <w:left w:w="43" w:type="dxa"/>
              <w:right w:w="43" w:type="dxa"/>
            </w:tcMar>
            <w:vAlign w:val="center"/>
          </w:tcPr>
          <w:p w:rsidR="00D118D7" w:rsidRDefault="00D118D7" w:rsidP="00D118D7">
            <w:pPr>
              <w:jc w:val="right"/>
              <w:rPr>
                <w:b/>
                <w:bCs/>
                <w:sz w:val="14"/>
                <w:szCs w:val="14"/>
              </w:rPr>
            </w:pPr>
            <w:r>
              <w:rPr>
                <w:b/>
                <w:bCs/>
                <w:sz w:val="14"/>
                <w:szCs w:val="14"/>
              </w:rPr>
              <w:t>6,638</w:t>
            </w:r>
          </w:p>
        </w:tc>
        <w:tc>
          <w:tcPr>
            <w:tcW w:w="850" w:type="dxa"/>
            <w:tcBorders>
              <w:top w:val="nil"/>
              <w:left w:val="nil"/>
              <w:bottom w:val="single" w:sz="12" w:space="0" w:color="auto"/>
              <w:right w:val="nil"/>
            </w:tcBorders>
            <w:shd w:val="clear" w:color="auto" w:fill="auto"/>
            <w:noWrap/>
            <w:tcMar>
              <w:left w:w="43" w:type="dxa"/>
              <w:right w:w="43" w:type="dxa"/>
            </w:tcMar>
            <w:vAlign w:val="center"/>
          </w:tcPr>
          <w:p w:rsidR="00D118D7" w:rsidRDefault="00D118D7" w:rsidP="00D118D7">
            <w:pPr>
              <w:jc w:val="right"/>
              <w:rPr>
                <w:b/>
                <w:bCs/>
                <w:sz w:val="14"/>
                <w:szCs w:val="14"/>
              </w:rPr>
            </w:pPr>
            <w:r>
              <w:rPr>
                <w:b/>
                <w:bCs/>
                <w:sz w:val="14"/>
                <w:szCs w:val="14"/>
              </w:rPr>
              <w:t>50,031</w:t>
            </w:r>
          </w:p>
        </w:tc>
      </w:tr>
      <w:tr w:rsidR="00D118D7" w:rsidRPr="00E5171C" w:rsidTr="00D118D7">
        <w:trPr>
          <w:trHeight w:val="245"/>
        </w:trPr>
        <w:tc>
          <w:tcPr>
            <w:tcW w:w="10314" w:type="dxa"/>
            <w:gridSpan w:val="10"/>
            <w:tcBorders>
              <w:top w:val="single" w:sz="12" w:space="0" w:color="auto"/>
              <w:left w:val="nil"/>
              <w:bottom w:val="nil"/>
              <w:right w:val="nil"/>
            </w:tcBorders>
            <w:shd w:val="clear" w:color="auto" w:fill="auto"/>
            <w:noWrap/>
            <w:vAlign w:val="center"/>
            <w:hideMark/>
          </w:tcPr>
          <w:p w:rsidR="00D118D7" w:rsidRDefault="00D118D7" w:rsidP="00D118D7">
            <w:pPr>
              <w:jc w:val="right"/>
              <w:rPr>
                <w:b/>
                <w:bCs/>
                <w:color w:val="auto"/>
                <w:sz w:val="14"/>
                <w:szCs w:val="14"/>
              </w:rPr>
            </w:pPr>
            <w:r>
              <w:rPr>
                <w:sz w:val="14"/>
                <w:szCs w:val="14"/>
              </w:rPr>
              <w:t>Source: Statistics &amp; Data Warehouse Department SBP</w:t>
            </w:r>
          </w:p>
          <w:p w:rsidR="00D118D7" w:rsidRPr="006A1E59" w:rsidRDefault="00D118D7" w:rsidP="00D118D7">
            <w:pPr>
              <w:jc w:val="left"/>
              <w:rPr>
                <w:rFonts w:ascii="Calibri" w:hAnsi="Calibri"/>
                <w:sz w:val="14"/>
                <w:szCs w:val="14"/>
              </w:rPr>
            </w:pPr>
            <w:r w:rsidRPr="006A1E59">
              <w:rPr>
                <w:b/>
                <w:bCs/>
                <w:color w:val="auto"/>
                <w:sz w:val="14"/>
                <w:szCs w:val="14"/>
              </w:rPr>
              <w:t xml:space="preserve">Note:  </w:t>
            </w:r>
          </w:p>
        </w:tc>
      </w:tr>
      <w:tr w:rsidR="00D118D7" w:rsidRPr="00E5171C" w:rsidTr="00D118D7">
        <w:trPr>
          <w:trHeight w:val="942"/>
        </w:trPr>
        <w:tc>
          <w:tcPr>
            <w:tcW w:w="10314" w:type="dxa"/>
            <w:gridSpan w:val="10"/>
            <w:tcBorders>
              <w:top w:val="nil"/>
              <w:left w:val="nil"/>
              <w:bottom w:val="nil"/>
              <w:right w:val="nil"/>
            </w:tcBorders>
            <w:shd w:val="clear" w:color="auto" w:fill="auto"/>
            <w:noWrap/>
            <w:vAlign w:val="center"/>
            <w:hideMark/>
          </w:tcPr>
          <w:p w:rsidR="00D118D7" w:rsidRPr="006A1E59" w:rsidRDefault="00D118D7" w:rsidP="00D118D7">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B1199F" w:rsidRPr="00B1199F" w:rsidRDefault="00B1199F" w:rsidP="00B1199F">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provisionsly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D118D7" w:rsidRPr="006A1E59" w:rsidRDefault="00D118D7" w:rsidP="00B1199F">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B1199F" w:rsidRPr="00B1199F" w:rsidRDefault="00D118D7" w:rsidP="0071681A">
            <w:pPr>
              <w:numPr>
                <w:ilvl w:val="0"/>
                <w:numId w:val="12"/>
              </w:numPr>
              <w:tabs>
                <w:tab w:val="left" w:pos="450"/>
              </w:tabs>
              <w:ind w:left="360"/>
              <w:jc w:val="left"/>
              <w:rPr>
                <w:rStyle w:val="Hyperlink"/>
              </w:rPr>
            </w:pPr>
            <w:r w:rsidRPr="00B1199F">
              <w:rPr>
                <w:color w:val="auto"/>
                <w:sz w:val="14"/>
                <w:szCs w:val="14"/>
              </w:rPr>
              <w:t xml:space="preserve">Islamic Financings, Advances (against Murabaha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D118D7" w:rsidRPr="006A1E59" w:rsidRDefault="00D118D7" w:rsidP="00BC3E3E">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58"/>
        <w:gridCol w:w="792"/>
        <w:gridCol w:w="763"/>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37512" w:rsidRPr="002D5FD9" w:rsidTr="00592A2C">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137512" w:rsidRPr="002D5FD9" w:rsidRDefault="00137512" w:rsidP="005251D4">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137512" w:rsidRPr="002D5FD9" w:rsidRDefault="00137512" w:rsidP="005251D4">
            <w:pPr>
              <w:jc w:val="right"/>
              <w:rPr>
                <w:b/>
                <w:bCs/>
                <w:szCs w:val="16"/>
              </w:rPr>
            </w:pPr>
            <w:r>
              <w:rPr>
                <w:b/>
                <w:bCs/>
                <w:szCs w:val="16"/>
              </w:rPr>
              <w:t>FY18</w:t>
            </w:r>
          </w:p>
        </w:tc>
        <w:tc>
          <w:tcPr>
            <w:tcW w:w="813" w:type="dxa"/>
            <w:vMerge w:val="restart"/>
            <w:tcBorders>
              <w:top w:val="nil"/>
              <w:left w:val="single" w:sz="4" w:space="0" w:color="auto"/>
              <w:right w:val="single" w:sz="4" w:space="0" w:color="auto"/>
            </w:tcBorders>
            <w:shd w:val="clear" w:color="auto" w:fill="auto"/>
            <w:vAlign w:val="center"/>
          </w:tcPr>
          <w:p w:rsidR="00137512" w:rsidRPr="002D5FD9" w:rsidRDefault="00137512" w:rsidP="005251D4">
            <w:pPr>
              <w:jc w:val="right"/>
              <w:rPr>
                <w:b/>
                <w:bCs/>
                <w:szCs w:val="16"/>
              </w:rPr>
            </w:pPr>
            <w:r>
              <w:rPr>
                <w:b/>
                <w:bCs/>
                <w:szCs w:val="16"/>
              </w:rPr>
              <w:t>FY19</w:t>
            </w:r>
          </w:p>
        </w:tc>
        <w:tc>
          <w:tcPr>
            <w:tcW w:w="813" w:type="dxa"/>
            <w:vMerge w:val="restart"/>
            <w:tcBorders>
              <w:top w:val="nil"/>
              <w:left w:val="single" w:sz="4" w:space="0" w:color="auto"/>
              <w:right w:val="single" w:sz="4" w:space="0" w:color="auto"/>
            </w:tcBorders>
            <w:shd w:val="clear" w:color="auto" w:fill="auto"/>
            <w:vAlign w:val="center"/>
          </w:tcPr>
          <w:p w:rsidR="00137512" w:rsidRPr="002D5FD9" w:rsidRDefault="00137512" w:rsidP="00C60409">
            <w:pPr>
              <w:jc w:val="right"/>
              <w:rPr>
                <w:b/>
                <w:bCs/>
                <w:szCs w:val="16"/>
              </w:rPr>
            </w:pPr>
            <w:r>
              <w:rPr>
                <w:b/>
                <w:bCs/>
                <w:szCs w:val="16"/>
              </w:rPr>
              <w:t>FY20</w:t>
            </w:r>
          </w:p>
        </w:tc>
        <w:tc>
          <w:tcPr>
            <w:tcW w:w="3057" w:type="dxa"/>
            <w:gridSpan w:val="4"/>
            <w:tcBorders>
              <w:top w:val="nil"/>
              <w:left w:val="single" w:sz="4" w:space="0" w:color="auto"/>
              <w:bottom w:val="single" w:sz="4" w:space="0" w:color="auto"/>
              <w:right w:val="single" w:sz="4" w:space="0" w:color="auto"/>
            </w:tcBorders>
            <w:shd w:val="clear" w:color="auto" w:fill="auto"/>
            <w:vAlign w:val="center"/>
          </w:tcPr>
          <w:p w:rsidR="00137512" w:rsidRPr="002D5FD9" w:rsidRDefault="00137512" w:rsidP="005251D4">
            <w:pPr>
              <w:rPr>
                <w:b/>
                <w:bCs/>
                <w:szCs w:val="16"/>
              </w:rPr>
            </w:pPr>
            <w:r>
              <w:rPr>
                <w:b/>
                <w:bCs/>
                <w:szCs w:val="16"/>
              </w:rPr>
              <w:t>2020</w:t>
            </w:r>
          </w:p>
        </w:tc>
        <w:tc>
          <w:tcPr>
            <w:tcW w:w="1665" w:type="dxa"/>
            <w:gridSpan w:val="2"/>
            <w:tcBorders>
              <w:top w:val="single" w:sz="12" w:space="0" w:color="auto"/>
              <w:left w:val="single" w:sz="4" w:space="0" w:color="auto"/>
              <w:bottom w:val="single" w:sz="4" w:space="0" w:color="auto"/>
              <w:right w:val="nil"/>
            </w:tcBorders>
            <w:shd w:val="clear" w:color="auto" w:fill="auto"/>
            <w:vAlign w:val="center"/>
          </w:tcPr>
          <w:p w:rsidR="00137512" w:rsidRPr="002D5FD9" w:rsidRDefault="00137512" w:rsidP="005251D4">
            <w:pPr>
              <w:rPr>
                <w:b/>
                <w:bCs/>
                <w:szCs w:val="16"/>
              </w:rPr>
            </w:pPr>
            <w:r>
              <w:rPr>
                <w:b/>
                <w:bCs/>
                <w:szCs w:val="16"/>
              </w:rPr>
              <w:t>2021</w:t>
            </w:r>
          </w:p>
        </w:tc>
      </w:tr>
      <w:tr w:rsidR="00137512" w:rsidRPr="00414936" w:rsidTr="00123399">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137512" w:rsidRPr="002D5FD9" w:rsidRDefault="00137512" w:rsidP="00137512">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137512" w:rsidRPr="006619BF" w:rsidRDefault="00137512" w:rsidP="0013751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137512" w:rsidRPr="006619BF" w:rsidRDefault="00137512" w:rsidP="00137512">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tcPr>
          <w:p w:rsidR="00137512" w:rsidRPr="006619BF" w:rsidRDefault="00137512" w:rsidP="00137512">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137512" w:rsidRPr="006619BF" w:rsidRDefault="00137512" w:rsidP="00137512">
            <w:pPr>
              <w:jc w:val="right"/>
              <w:rPr>
                <w:b/>
                <w:color w:val="auto"/>
                <w:sz w:val="14"/>
                <w:szCs w:val="14"/>
              </w:rPr>
            </w:pPr>
            <w:r>
              <w:rPr>
                <w:b/>
                <w:color w:val="auto"/>
                <w:sz w:val="14"/>
                <w:szCs w:val="14"/>
              </w:rPr>
              <w:t>Jan</w:t>
            </w:r>
          </w:p>
        </w:tc>
        <w:tc>
          <w:tcPr>
            <w:tcW w:w="736" w:type="dxa"/>
            <w:tcBorders>
              <w:top w:val="single" w:sz="4" w:space="0" w:color="auto"/>
              <w:bottom w:val="single" w:sz="12" w:space="0" w:color="auto"/>
              <w:right w:val="single" w:sz="4" w:space="0" w:color="auto"/>
            </w:tcBorders>
            <w:shd w:val="clear" w:color="auto" w:fill="auto"/>
            <w:vAlign w:val="center"/>
          </w:tcPr>
          <w:p w:rsidR="00137512" w:rsidRPr="006619BF" w:rsidRDefault="00137512" w:rsidP="00137512">
            <w:pPr>
              <w:jc w:val="right"/>
              <w:rPr>
                <w:b/>
                <w:color w:val="auto"/>
                <w:sz w:val="14"/>
                <w:szCs w:val="14"/>
              </w:rPr>
            </w:pPr>
            <w:r>
              <w:rPr>
                <w:b/>
                <w:color w:val="auto"/>
                <w:sz w:val="14"/>
                <w:szCs w:val="14"/>
              </w:rPr>
              <w:t>Feb</w:t>
            </w:r>
          </w:p>
        </w:tc>
        <w:tc>
          <w:tcPr>
            <w:tcW w:w="794" w:type="dxa"/>
            <w:tcBorders>
              <w:top w:val="single" w:sz="4" w:space="0" w:color="auto"/>
              <w:left w:val="single" w:sz="4" w:space="0" w:color="auto"/>
              <w:bottom w:val="single" w:sz="12" w:space="0" w:color="auto"/>
            </w:tcBorders>
            <w:shd w:val="clear" w:color="auto" w:fill="auto"/>
            <w:vAlign w:val="center"/>
            <w:hideMark/>
          </w:tcPr>
          <w:p w:rsidR="00137512" w:rsidRPr="006619BF" w:rsidRDefault="00137512" w:rsidP="00137512">
            <w:pPr>
              <w:jc w:val="right"/>
              <w:rPr>
                <w:b/>
                <w:color w:val="auto"/>
                <w:sz w:val="14"/>
                <w:szCs w:val="14"/>
              </w:rPr>
            </w:pPr>
            <w:r>
              <w:rPr>
                <w:b/>
                <w:color w:val="auto"/>
                <w:sz w:val="14"/>
                <w:szCs w:val="14"/>
              </w:rPr>
              <w:t>Nov</w:t>
            </w:r>
          </w:p>
        </w:tc>
        <w:tc>
          <w:tcPr>
            <w:tcW w:w="765" w:type="dxa"/>
            <w:tcBorders>
              <w:top w:val="single" w:sz="4" w:space="0" w:color="auto"/>
              <w:bottom w:val="single" w:sz="12" w:space="0" w:color="auto"/>
              <w:right w:val="single" w:sz="4" w:space="0" w:color="auto"/>
            </w:tcBorders>
            <w:shd w:val="clear" w:color="auto" w:fill="auto"/>
            <w:vAlign w:val="center"/>
          </w:tcPr>
          <w:p w:rsidR="00137512" w:rsidRPr="006619BF" w:rsidRDefault="00137512" w:rsidP="00137512">
            <w:pPr>
              <w:jc w:val="right"/>
              <w:rPr>
                <w:b/>
                <w:color w:val="auto"/>
                <w:sz w:val="14"/>
                <w:szCs w:val="14"/>
              </w:rPr>
            </w:pPr>
            <w:r>
              <w:rPr>
                <w:b/>
                <w:color w:val="auto"/>
                <w:sz w:val="14"/>
                <w:szCs w:val="14"/>
              </w:rPr>
              <w:t>Dec</w:t>
            </w:r>
          </w:p>
        </w:tc>
        <w:tc>
          <w:tcPr>
            <w:tcW w:w="855" w:type="dxa"/>
            <w:tcBorders>
              <w:top w:val="single" w:sz="4" w:space="0" w:color="auto"/>
              <w:left w:val="single" w:sz="4" w:space="0" w:color="auto"/>
              <w:bottom w:val="single" w:sz="12" w:space="0" w:color="auto"/>
            </w:tcBorders>
            <w:shd w:val="clear" w:color="auto" w:fill="auto"/>
            <w:vAlign w:val="center"/>
          </w:tcPr>
          <w:p w:rsidR="00137512" w:rsidRPr="006619BF" w:rsidRDefault="00137512" w:rsidP="00137512">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nil"/>
            </w:tcBorders>
            <w:shd w:val="clear" w:color="auto" w:fill="auto"/>
            <w:vAlign w:val="center"/>
          </w:tcPr>
          <w:p w:rsidR="00137512" w:rsidRPr="00137512" w:rsidRDefault="00137512" w:rsidP="00137512">
            <w:pPr>
              <w:jc w:val="right"/>
              <w:rPr>
                <w:b/>
                <w:color w:val="auto"/>
                <w:sz w:val="14"/>
                <w:szCs w:val="14"/>
                <w:vertAlign w:val="superscript"/>
              </w:rPr>
            </w:pPr>
            <w:r>
              <w:rPr>
                <w:b/>
                <w:color w:val="auto"/>
                <w:sz w:val="14"/>
                <w:szCs w:val="14"/>
              </w:rPr>
              <w:t>Feb</w:t>
            </w:r>
            <w:r>
              <w:rPr>
                <w:b/>
                <w:color w:val="auto"/>
                <w:sz w:val="14"/>
                <w:szCs w:val="14"/>
                <w:vertAlign w:val="superscript"/>
              </w:rPr>
              <w:t xml:space="preserve"> P</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257,804</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(833,736)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234,982</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202,813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286,897</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722,758</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852,661</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859,735</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796,905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2,562,079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3,035,989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4,011,152</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3,761,620</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3,827,378</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4,150,390</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4,287,725</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4,219,633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4,146,846</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2,304,275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3,869,725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3,776,170</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3,558,806</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3,540,481</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3,427,633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3,435,063</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3,359,898</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3,349,941</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17,681,190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20,839,912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23,813,865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21,256,100</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21,473,977</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23,980,615</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24,358,885</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24,295,110</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24,627,185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10,338,362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12,490,626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15,185,307</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12,761,159</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12,881,358</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15,366,511</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15,442,308</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15,382,883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15,592,812</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10,564,370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12,953,916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15,833,527</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13,722,262</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13,886,653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16,236,085</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16,394,009</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16,408,712</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16,645,778</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11,718,699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15,187,246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17,789,288</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16,035,851</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16,422,010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18,321,067</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18,429,447</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18,426,257</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18,642,769</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2,233,330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1,955,761</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2,313,589</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2,535,357</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2,084,982</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2,035,438</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2,017,545</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1,996,992</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(226,008)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(463,289)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(648,221)</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(961,103)</w:t>
            </w:r>
          </w:p>
        </w:tc>
        <w:tc>
          <w:tcPr>
            <w:tcW w:w="760"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(1,005,295)</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(869,573)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(951,701)</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(1,025,829)</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(1,052,965)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652,076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569,012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648,924</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491,276</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487,496</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562,019</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558,001</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550,984</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532,913</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1,032,301</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1,297,145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1,452,379</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1,492,791</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1,431,593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1,509,702</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1,576,813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1,585,879</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7,342,828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8,349,286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8,628,559</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8,494,941</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8,592,619</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8,614,103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8,916,577</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8,912,227</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9,034,373</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109,575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103,389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96,655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102,045</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102,833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101,172</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105,295</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106,412</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106,918</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1,268,858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1,581,258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1,727,914</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1,618,577</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1,633,314</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1,683,495</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1,690,771</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1,719,272</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1,732,810</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4,700,394</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5,224,698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5,374,610</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5,330,493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5,413,070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5,313,264</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5,553,238</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5,537,541</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5,618,957</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1,264,000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1,439,941</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1,429,380</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1,443,826</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1,443,402</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1,516,172</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1,567,272</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1,549,002</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1,575,687</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17,451,119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20,651,333</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18,182,735</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18,404,580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21,054,254</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21,595,762</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21,421,189</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21,674,580</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4,935,435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6,126,974</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5,344,339</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5,408,841</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6,163,696</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6,192,104</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6,366,169</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6,476,737</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9,472,216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11,078,692</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9,664,473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9,793,380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11,377,081</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11,759,323</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11,563,966</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11,708,834</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230,225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369,642</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279,318</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245,204</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212,789</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299,360</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241,421</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257,177</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383,870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543,548</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466,253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499,440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505,060</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519,394</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542,030</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556,298</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2,517,381</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3,182,885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2,648,181</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2,725,488</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3,288,279</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3,393,980</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3,278,773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3,365,956</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6,340,740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6,982,617</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6,270,722</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6,323,248</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7,370,953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7,546,589</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7,501,742</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7,529,403</w:t>
            </w:r>
          </w:p>
        </w:tc>
      </w:tr>
      <w:tr w:rsidR="00137512" w:rsidRPr="002D5FD9" w:rsidTr="00DC610A">
        <w:trPr>
          <w:trHeight w:val="153"/>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3,043,453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3,445,649</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3,173,908</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3,202,343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3,513,459</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3,644,318</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3,491,037</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3,488,992</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99,689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81,841</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85,861</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92,869</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88,379</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101,010</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89,819</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90,676</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494,185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591,289</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579,475</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579,309</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653,086</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666,433</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632,612</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624,869</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887,278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992,225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903,112</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891,506</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1,101,670</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1,187,349</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1,109,418</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1,120,533</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1,562,300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1,780,294</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1,605,460</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1,638,658</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1,670,323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1,689,525</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1,659,188</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1,652,913</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18</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16</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16</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18</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18</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18</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18</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14</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15</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14</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15</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3</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67,332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74,886</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66,503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66,410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74,271</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74,416</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74,273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74,109</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36,745</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39,072</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41,143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41,170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38,365</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36,619</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37,546</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37,726</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19,053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20,306</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21,721</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21,660</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19,436</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19,346</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19,281</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i/>
                <w:iCs/>
                <w:sz w:val="14"/>
                <w:szCs w:val="14"/>
              </w:rPr>
            </w:pPr>
            <w:r>
              <w:rPr>
                <w:i/>
                <w:iCs/>
                <w:sz w:val="14"/>
                <w:szCs w:val="14"/>
              </w:rPr>
              <w:t>19,328</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15,257</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28,145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21,542</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24,443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33,468</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30,507</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36,209</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39,835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6,628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19,990</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13,205</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16,106</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25,495</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22,534</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28,236</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i/>
                <w:iCs/>
                <w:sz w:val="14"/>
                <w:szCs w:val="14"/>
              </w:rPr>
            </w:pPr>
            <w:r>
              <w:rPr>
                <w:i/>
                <w:iCs/>
                <w:sz w:val="14"/>
                <w:szCs w:val="14"/>
              </w:rPr>
              <w:t>31,862</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10,259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6,447</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5,865</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7,767</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5,842</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5,420</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5,203</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5,753</w:t>
            </w:r>
          </w:p>
        </w:tc>
      </w:tr>
      <w:tr w:rsidR="00D118D7"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D118D7" w:rsidRPr="002D5FD9" w:rsidRDefault="00D118D7" w:rsidP="00D118D7">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D118D7" w:rsidRDefault="00D118D7" w:rsidP="00D118D7">
            <w:pPr>
              <w:jc w:val="right"/>
              <w:rPr>
                <w:i/>
                <w:iCs/>
                <w:sz w:val="14"/>
                <w:szCs w:val="14"/>
              </w:rPr>
            </w:pPr>
            <w:r>
              <w:rPr>
                <w:i/>
                <w:iCs/>
                <w:sz w:val="14"/>
                <w:szCs w:val="14"/>
              </w:rPr>
              <w:t>-</w:t>
            </w:r>
          </w:p>
        </w:tc>
        <w:tc>
          <w:tcPr>
            <w:tcW w:w="76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D118D7" w:rsidRDefault="00D118D7" w:rsidP="00D118D7">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118D7" w:rsidRDefault="00D118D7" w:rsidP="00D118D7">
            <w:pPr>
              <w:jc w:val="right"/>
              <w:rPr>
                <w:i/>
                <w:iCs/>
                <w:sz w:val="14"/>
                <w:szCs w:val="14"/>
              </w:rPr>
            </w:pPr>
            <w:r>
              <w:rPr>
                <w:i/>
                <w:iCs/>
                <w:sz w:val="14"/>
                <w:szCs w:val="14"/>
              </w:rPr>
              <w:t>-</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73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27</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23</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22</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34</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35</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34</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26</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i/>
                <w:iCs/>
                <w:sz w:val="14"/>
                <w:szCs w:val="14"/>
              </w:rPr>
            </w:pPr>
            <w:r>
              <w:rPr>
                <w:i/>
                <w:iCs/>
                <w:sz w:val="14"/>
                <w:szCs w:val="14"/>
              </w:rPr>
              <w:t>-</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i/>
                <w:iCs/>
                <w:sz w:val="14"/>
                <w:szCs w:val="14"/>
              </w:rPr>
            </w:pPr>
            <w:r>
              <w:rPr>
                <w:i/>
                <w:iCs/>
                <w:sz w:val="14"/>
                <w:szCs w:val="14"/>
              </w:rPr>
              <w:t>-</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2,253,749</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2,463,113</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3,145,065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3,476,656</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3,595,411</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3,349,983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3,454,500</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3,530,964</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3,505,778</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(162,778)</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(37,576)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103,925</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(335,508)</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(378,884)</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b/>
                <w:bCs/>
                <w:sz w:val="14"/>
                <w:szCs w:val="14"/>
              </w:rPr>
            </w:pPr>
            <w:r>
              <w:rPr>
                <w:b/>
                <w:bCs/>
                <w:sz w:val="14"/>
                <w:szCs w:val="14"/>
              </w:rPr>
              <w:t>147,223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14,357</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b/>
                <w:bCs/>
                <w:sz w:val="14"/>
                <w:szCs w:val="14"/>
              </w:rPr>
            </w:pPr>
            <w:r>
              <w:rPr>
                <w:b/>
                <w:bCs/>
                <w:sz w:val="14"/>
                <w:szCs w:val="14"/>
              </w:rPr>
              <w:t>49,495</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b/>
                <w:bCs/>
                <w:sz w:val="14"/>
                <w:szCs w:val="14"/>
              </w:rPr>
            </w:pPr>
            <w:r>
              <w:rPr>
                <w:b/>
                <w:bCs/>
                <w:sz w:val="14"/>
                <w:szCs w:val="14"/>
              </w:rPr>
              <w:t>86,335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1,614,791</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2,136,426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2,290,604</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2,237,424</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2,202,563</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2,353,594</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2,425,354</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2,424,307</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2,409,923</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1,614,406</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1,871,240</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1,989,742</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2,342,242</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2,399,816</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2,157,323</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2,286,405</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2,298,617</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2,308,795</w:t>
            </w:r>
          </w:p>
        </w:tc>
      </w:tr>
      <w:tr w:rsidR="00137512" w:rsidRPr="002D5FD9" w:rsidTr="00D118D7">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137512" w:rsidRPr="002D5FD9" w:rsidRDefault="00137512" w:rsidP="00137512">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(163,162)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(302,762)</w:t>
            </w:r>
          </w:p>
        </w:tc>
        <w:tc>
          <w:tcPr>
            <w:tcW w:w="813"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(196,938)</w:t>
            </w:r>
          </w:p>
        </w:tc>
        <w:tc>
          <w:tcPr>
            <w:tcW w:w="762"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(230,690)</w:t>
            </w:r>
          </w:p>
        </w:tc>
        <w:tc>
          <w:tcPr>
            <w:tcW w:w="736"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(181,631)</w:t>
            </w:r>
          </w:p>
        </w:tc>
        <w:tc>
          <w:tcPr>
            <w:tcW w:w="794" w:type="dxa"/>
            <w:tcBorders>
              <w:top w:val="nil"/>
              <w:left w:val="nil"/>
              <w:bottom w:val="nil"/>
              <w:right w:val="nil"/>
            </w:tcBorders>
            <w:shd w:val="clear" w:color="auto" w:fill="auto"/>
            <w:tcMar>
              <w:left w:w="43" w:type="dxa"/>
              <w:right w:w="43" w:type="dxa"/>
            </w:tcMar>
            <w:vAlign w:val="center"/>
            <w:hideMark/>
          </w:tcPr>
          <w:p w:rsidR="00137512" w:rsidRDefault="00137512" w:rsidP="00137512">
            <w:pPr>
              <w:jc w:val="right"/>
              <w:rPr>
                <w:sz w:val="14"/>
                <w:szCs w:val="14"/>
              </w:rPr>
            </w:pPr>
            <w:r>
              <w:rPr>
                <w:sz w:val="14"/>
                <w:szCs w:val="14"/>
              </w:rPr>
              <w:t>(49,048)</w:t>
            </w:r>
          </w:p>
        </w:tc>
        <w:tc>
          <w:tcPr>
            <w:tcW w:w="76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(124,592)</w:t>
            </w:r>
          </w:p>
        </w:tc>
        <w:tc>
          <w:tcPr>
            <w:tcW w:w="855" w:type="dxa"/>
            <w:tcBorders>
              <w:top w:val="nil"/>
              <w:left w:val="nil"/>
              <w:bottom w:val="nil"/>
              <w:right w:val="nil"/>
            </w:tcBorders>
            <w:shd w:val="clear" w:color="auto" w:fill="auto"/>
            <w:tcMar>
              <w:left w:w="43" w:type="dxa"/>
              <w:right w:w="43" w:type="dxa"/>
            </w:tcMar>
            <w:vAlign w:val="center"/>
          </w:tcPr>
          <w:p w:rsidR="00137512" w:rsidRDefault="00137512" w:rsidP="00137512">
            <w:pPr>
              <w:jc w:val="right"/>
              <w:rPr>
                <w:sz w:val="14"/>
                <w:szCs w:val="14"/>
              </w:rPr>
            </w:pPr>
            <w:r>
              <w:rPr>
                <w:sz w:val="14"/>
                <w:szCs w:val="14"/>
              </w:rPr>
              <w:t>(76,195)</w:t>
            </w:r>
          </w:p>
        </w:tc>
        <w:tc>
          <w:tcPr>
            <w:tcW w:w="810" w:type="dxa"/>
            <w:tcBorders>
              <w:top w:val="nil"/>
              <w:left w:val="nil"/>
              <w:bottom w:val="nil"/>
              <w:right w:val="nil"/>
            </w:tcBorders>
            <w:shd w:val="clear" w:color="auto" w:fill="auto"/>
            <w:noWrap/>
            <w:tcMar>
              <w:left w:w="43" w:type="dxa"/>
              <w:right w:w="43" w:type="dxa"/>
            </w:tcMar>
            <w:vAlign w:val="center"/>
          </w:tcPr>
          <w:p w:rsidR="00137512" w:rsidRDefault="00137512" w:rsidP="00137512">
            <w:pPr>
              <w:jc w:val="right"/>
              <w:rPr>
                <w:sz w:val="14"/>
                <w:szCs w:val="14"/>
              </w:rPr>
            </w:pPr>
            <w:r>
              <w:rPr>
                <w:sz w:val="14"/>
                <w:szCs w:val="14"/>
              </w:rPr>
              <w:t>(14,792)</w:t>
            </w:r>
          </w:p>
        </w:tc>
      </w:tr>
      <w:tr w:rsidR="00137512"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137512" w:rsidRDefault="00137512" w:rsidP="00137512">
            <w:pPr>
              <w:ind w:left="360" w:hanging="360"/>
              <w:jc w:val="right"/>
              <w:rPr>
                <w:szCs w:val="18"/>
              </w:rPr>
            </w:pPr>
            <w:r>
              <w:rPr>
                <w:sz w:val="14"/>
                <w:szCs w:val="14"/>
              </w:rPr>
              <w:t>Source: Statistics &amp; Data Warehouse Department SBP</w:t>
            </w:r>
          </w:p>
          <w:p w:rsidR="00137512" w:rsidRPr="00916320" w:rsidRDefault="00137512" w:rsidP="00137512">
            <w:pPr>
              <w:ind w:left="360" w:hanging="360"/>
              <w:jc w:val="left"/>
              <w:rPr>
                <w:rFonts w:asciiTheme="majorBidi" w:hAnsiTheme="majorBidi" w:cstheme="majorBidi"/>
                <w:szCs w:val="18"/>
              </w:rPr>
            </w:pPr>
            <w:r w:rsidRPr="00916320">
              <w:rPr>
                <w:szCs w:val="18"/>
              </w:rPr>
              <w:t xml:space="preserve">Note: </w:t>
            </w:r>
          </w:p>
          <w:p w:rsidR="00137512" w:rsidRPr="00916320" w:rsidRDefault="00137512" w:rsidP="00137512">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w:t>
            </w:r>
            <w:r w:rsidR="000669AD" w:rsidRPr="00916320">
              <w:rPr>
                <w:rFonts w:asciiTheme="majorBidi" w:hAnsiTheme="majorBidi" w:cstheme="majorBidi"/>
                <w:sz w:val="14"/>
                <w:szCs w:val="14"/>
              </w:rPr>
              <w:t>Non-Bank</w:t>
            </w:r>
            <w:r w:rsidRPr="00916320">
              <w:rPr>
                <w:rFonts w:asciiTheme="majorBidi" w:hAnsiTheme="majorBidi" w:cstheme="majorBidi"/>
                <w:sz w:val="14"/>
                <w:szCs w:val="14"/>
              </w:rPr>
              <w:t xml:space="preserve"> Financial Companies and Money Market Mutual Funds (MMMFs). The scope of DCs survey </w:t>
            </w:r>
            <w:proofErr w:type="gramStart"/>
            <w:r w:rsidRPr="00916320">
              <w:rPr>
                <w:rFonts w:asciiTheme="majorBidi" w:hAnsiTheme="majorBidi" w:cstheme="majorBidi"/>
                <w:sz w:val="14"/>
                <w:szCs w:val="14"/>
              </w:rPr>
              <w:t>has been enhanced</w:t>
            </w:r>
            <w:proofErr w:type="gramEnd"/>
            <w:r w:rsidRPr="00916320">
              <w:rPr>
                <w:rFonts w:asciiTheme="majorBidi" w:hAnsiTheme="majorBidi" w:cstheme="majorBidi"/>
                <w:sz w:val="14"/>
                <w:szCs w:val="14"/>
              </w:rPr>
              <w:t xml:space="preserve">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137512" w:rsidRPr="00916320" w:rsidRDefault="0071681A" w:rsidP="00137512">
            <w:pPr>
              <w:pStyle w:val="ListParagraph"/>
              <w:numPr>
                <w:ilvl w:val="0"/>
                <w:numId w:val="15"/>
              </w:numPr>
              <w:rPr>
                <w:rFonts w:asciiTheme="majorBidi" w:hAnsiTheme="majorBidi" w:cstheme="majorBidi"/>
                <w:sz w:val="14"/>
                <w:szCs w:val="14"/>
              </w:rPr>
            </w:pPr>
            <w:hyperlink r:id="rId15" w:history="1">
              <w:r w:rsidR="00137512"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137512" w:rsidRPr="00916320">
              <w:rPr>
                <w:rFonts w:asciiTheme="majorBidi" w:hAnsiTheme="majorBidi" w:cstheme="majorBidi"/>
                <w:sz w:val="14"/>
                <w:szCs w:val="14"/>
              </w:rPr>
              <w:t xml:space="preserve"> </w:t>
            </w:r>
            <w:hyperlink r:id="rId16" w:history="1">
              <w:r w:rsidR="00137512" w:rsidRPr="00DC610A">
                <w:rPr>
                  <w:rFonts w:asciiTheme="majorBidi" w:hAnsiTheme="majorBidi" w:cstheme="majorBidi"/>
                  <w:sz w:val="14"/>
                  <w:szCs w:val="14"/>
                </w:rPr>
                <w:t>www.sbp.org.pk/ecodata/Revision_Monetary_Stats.pdf</w:t>
              </w:r>
            </w:hyperlink>
          </w:p>
          <w:p w:rsidR="00DC610A" w:rsidRPr="00DC610A" w:rsidRDefault="001359EE" w:rsidP="00DC610A">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00DC610A" w:rsidRPr="001359EE">
              <w:rPr>
                <w:rFonts w:asciiTheme="majorBidi" w:hAnsiTheme="majorBidi" w:cstheme="majorBidi"/>
                <w:sz w:val="14"/>
                <w:szCs w:val="14"/>
              </w:rPr>
              <w:t>July</w:t>
            </w:r>
            <w:r w:rsidRPr="001359EE">
              <w:rPr>
                <w:rFonts w:asciiTheme="majorBidi" w:hAnsiTheme="majorBidi" w:cstheme="majorBidi"/>
                <w:sz w:val="14"/>
                <w:szCs w:val="14"/>
              </w:rPr>
              <w:t xml:space="preserve"> </w:t>
            </w:r>
            <w:r w:rsidR="00DC610A" w:rsidRPr="001359EE">
              <w:rPr>
                <w:rFonts w:asciiTheme="majorBidi" w:hAnsiTheme="majorBidi" w:cstheme="majorBidi"/>
                <w:sz w:val="14"/>
                <w:szCs w:val="14"/>
              </w:rPr>
              <w:t>2019,</w:t>
            </w:r>
            <w:r w:rsidRPr="001359EE">
              <w:rPr>
                <w:rFonts w:asciiTheme="majorBidi" w:hAnsiTheme="majorBidi" w:cstheme="majorBidi"/>
                <w:sz w:val="14"/>
                <w:szCs w:val="14"/>
              </w:rPr>
              <w:t xml:space="preserve"> data on Central and Provincial Government deposits with scheduled banks </w:t>
            </w:r>
            <w:proofErr w:type="gramStart"/>
            <w:r w:rsidRPr="001359EE">
              <w:rPr>
                <w:rFonts w:asciiTheme="majorBidi" w:hAnsiTheme="majorBidi" w:cstheme="majorBidi"/>
                <w:sz w:val="14"/>
                <w:szCs w:val="14"/>
              </w:rPr>
              <w:t>have been revised</w:t>
            </w:r>
            <w:proofErr w:type="gramEnd"/>
            <w:r w:rsidRPr="001359EE">
              <w:rPr>
                <w:rFonts w:asciiTheme="majorBidi" w:hAnsiTheme="majorBidi" w:cstheme="majorBidi"/>
                <w:sz w:val="14"/>
                <w:szCs w:val="14"/>
              </w:rPr>
              <w:t>. This revision is due to reclassification of some of the PSEs, which were previously reported under Government deposits. The cover</w:t>
            </w:r>
            <w:r w:rsidR="00DC610A">
              <w:rPr>
                <w:rFonts w:asciiTheme="majorBidi" w:hAnsiTheme="majorBidi" w:cstheme="majorBidi"/>
                <w:sz w:val="14"/>
                <w:szCs w:val="14"/>
              </w:rPr>
              <w:t>age of PSEs has been increased.</w:t>
            </w:r>
          </w:p>
          <w:p w:rsidR="00DC610A" w:rsidRPr="00DC610A" w:rsidRDefault="00DC610A" w:rsidP="0071681A">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The claims on Indian Government are reclassified as Other Assets in line with changes in SBP Statement of Affairs from July 2020.</w:t>
            </w:r>
          </w:p>
          <w:p w:rsidR="00B26D66" w:rsidRPr="007A445B" w:rsidRDefault="00137512" w:rsidP="00DC610A">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10"/>
        <w:gridCol w:w="810"/>
        <w:gridCol w:w="810"/>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EF4F8B">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186" w:type="dxa"/>
            <w:gridSpan w:val="4"/>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1571" w:type="dxa"/>
            <w:gridSpan w:val="2"/>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EF4F8B" w:rsidRPr="009B6E8A" w:rsidTr="00123399">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F4F8B" w:rsidRPr="009B6E8A" w:rsidRDefault="00EF4F8B" w:rsidP="00EF4F8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F4F8B" w:rsidRPr="006619BF" w:rsidRDefault="00EF4F8B" w:rsidP="00EF4F8B">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F4F8B" w:rsidRPr="006619BF" w:rsidRDefault="00EF4F8B" w:rsidP="00EF4F8B">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F4F8B" w:rsidRPr="006619BF" w:rsidRDefault="00EF4F8B" w:rsidP="00EF4F8B">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F4F8B" w:rsidRPr="006619BF" w:rsidRDefault="00EF4F8B" w:rsidP="00EF4F8B">
            <w:pPr>
              <w:jc w:val="right"/>
              <w:rPr>
                <w:b/>
                <w:color w:val="auto"/>
                <w:sz w:val="14"/>
                <w:szCs w:val="14"/>
              </w:rPr>
            </w:pPr>
            <w:r>
              <w:rPr>
                <w:b/>
                <w:color w:val="auto"/>
                <w:sz w:val="14"/>
                <w:szCs w:val="14"/>
              </w:rPr>
              <w:t>Jan</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F4F8B" w:rsidRPr="006619BF" w:rsidRDefault="00EF4F8B" w:rsidP="00EF4F8B">
            <w:pPr>
              <w:jc w:val="right"/>
              <w:rPr>
                <w:b/>
                <w:color w:val="auto"/>
                <w:sz w:val="14"/>
                <w:szCs w:val="14"/>
              </w:rPr>
            </w:pPr>
            <w:r>
              <w:rPr>
                <w:b/>
                <w:color w:val="auto"/>
                <w:sz w:val="14"/>
                <w:szCs w:val="14"/>
              </w:rPr>
              <w:t>Feb</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F4F8B" w:rsidRPr="006619BF" w:rsidRDefault="00EF4F8B" w:rsidP="00EF4F8B">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F4F8B" w:rsidRPr="006619BF" w:rsidRDefault="00EF4F8B" w:rsidP="00EF4F8B">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F4F8B" w:rsidRPr="006619BF" w:rsidRDefault="00EF4F8B" w:rsidP="00EF4F8B">
            <w:pPr>
              <w:jc w:val="right"/>
              <w:rPr>
                <w:b/>
                <w:color w:val="auto"/>
                <w:sz w:val="14"/>
                <w:szCs w:val="14"/>
              </w:rPr>
            </w:pPr>
            <w:r>
              <w:rPr>
                <w:b/>
                <w:color w:val="auto"/>
                <w:sz w:val="14"/>
                <w:szCs w:val="14"/>
              </w:rPr>
              <w:t xml:space="preserve">Jan </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EF4F8B" w:rsidRPr="00EF4F8B" w:rsidRDefault="00EF4F8B" w:rsidP="00EF4F8B">
            <w:pPr>
              <w:jc w:val="right"/>
              <w:rPr>
                <w:b/>
                <w:color w:val="auto"/>
                <w:sz w:val="14"/>
                <w:szCs w:val="14"/>
                <w:vertAlign w:val="superscript"/>
              </w:rPr>
            </w:pPr>
            <w:r>
              <w:rPr>
                <w:b/>
                <w:color w:val="auto"/>
                <w:sz w:val="14"/>
                <w:szCs w:val="14"/>
              </w:rPr>
              <w:t>Feb</w:t>
            </w:r>
            <w:r>
              <w:rPr>
                <w:b/>
                <w:color w:val="auto"/>
                <w:sz w:val="14"/>
                <w:szCs w:val="14"/>
                <w:vertAlign w:val="superscript"/>
              </w:rPr>
              <w:t xml:space="preserve"> P</w:t>
            </w:r>
          </w:p>
        </w:tc>
      </w:tr>
      <w:tr w:rsidR="00EF4F8B" w:rsidRPr="009B6E8A" w:rsidTr="00BD56D8">
        <w:trPr>
          <w:trHeight w:hRule="exact" w:val="178"/>
          <w:jc w:val="center"/>
        </w:trPr>
        <w:tc>
          <w:tcPr>
            <w:tcW w:w="3341" w:type="dxa"/>
            <w:gridSpan w:val="2"/>
            <w:tcBorders>
              <w:top w:val="nil"/>
              <w:left w:val="nil"/>
              <w:bottom w:val="nil"/>
              <w:right w:val="nil"/>
            </w:tcBorders>
            <w:shd w:val="clear" w:color="auto" w:fill="auto"/>
            <w:noWrap/>
            <w:vAlign w:val="center"/>
            <w:hideMark/>
          </w:tcPr>
          <w:p w:rsidR="00EF4F8B" w:rsidRPr="009B6E8A" w:rsidRDefault="00EF4F8B" w:rsidP="00EF4F8B">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3"/>
                <w:szCs w:val="13"/>
              </w:rPr>
            </w:pP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5,358,604</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5,423,316</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6,202,236</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6,206,488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6,363,765</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6,468,286</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259,464</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243,907</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337,495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346,318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323,031</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339,338</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33,250</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33,295</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53,427</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57,670</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55,971</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57,347</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909,068</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898,533</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943,029</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1,081,088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1,014,132</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1,002,304</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6,560,386</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6,599,052</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7,536,188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7,691,564</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7,756,899</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7,867,275</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Pr="00C65960" w:rsidRDefault="00EF4F8B" w:rsidP="00EF4F8B">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(167,864)</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(82,265)</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79,510</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164,156</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171,176</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174,185</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6,728,250</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6,681,317</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7,456,679</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7,527,408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7,585,723</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7,693,090</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6,034,132</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5,884,074</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6,030,573</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5,939,467</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5,916,538</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5,905,742</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6,046,009</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5,896,045</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6,043,817</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5,952,896</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5,928,361</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5,917,624</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6,567,265</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6,423,175</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6,355,285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6,395,706</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6,432,040</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6,483,040</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(1,094,647)</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(1,286,833)</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(844,285)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(616,694)</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(590,426)</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(563,165)</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(484,207)</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(487,058)</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(274,193)</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(405,760)</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(462,844)</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(516,510)</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(71,421)</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(75,406)</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(63,911)</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(77,684)</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(78,762)</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(85,229)</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(96,388)</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(87,260)</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(23,365)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(31,614)</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(38,462)</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(43,493)</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(224,574)</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(238,719)</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(130,619)</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(213,045)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(263,353)</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(283,730)</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(91,823)</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(85,673)</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(56,298)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(83,418)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(82,267)</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(104,059)</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(19,387)</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(18,242)</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(16,488)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(17,655)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(20,572)</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(29,240)</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(17,661)</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(21,831)</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(20,788)</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(19,395)</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(20,263)</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(19,666)</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(11,878)</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(11,971)</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(13,243)</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(13,429)</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(11,822)</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(11,882)</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Default="00EF4F8B" w:rsidP="00EF4F8B">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809,119</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811,700</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1,184,437</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1,216,811</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1,213,720</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1,210,186</w:t>
            </w:r>
          </w:p>
        </w:tc>
      </w:tr>
      <w:tr w:rsidR="00EF4F8B" w:rsidRPr="009B6E8A" w:rsidTr="00BD56D8">
        <w:trPr>
          <w:trHeight w:hRule="exact" w:val="236"/>
          <w:jc w:val="center"/>
        </w:trPr>
        <w:tc>
          <w:tcPr>
            <w:tcW w:w="3341" w:type="dxa"/>
            <w:gridSpan w:val="2"/>
            <w:tcBorders>
              <w:top w:val="nil"/>
              <w:left w:val="nil"/>
              <w:bottom w:val="nil"/>
              <w:right w:val="nil"/>
            </w:tcBorders>
            <w:shd w:val="clear" w:color="auto" w:fill="auto"/>
            <w:noWrap/>
            <w:vAlign w:val="center"/>
            <w:hideMark/>
          </w:tcPr>
          <w:p w:rsidR="00EF4F8B" w:rsidRPr="008C32C5" w:rsidRDefault="00EF4F8B" w:rsidP="00EF4F8B">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796,378</w:t>
            </w:r>
          </w:p>
        </w:tc>
        <w:tc>
          <w:tcPr>
            <w:tcW w:w="810" w:type="dxa"/>
            <w:tcBorders>
              <w:top w:val="nil"/>
              <w:left w:val="nil"/>
              <w:bottom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799,124</w:t>
            </w:r>
          </w:p>
        </w:tc>
        <w:tc>
          <w:tcPr>
            <w:tcW w:w="810" w:type="dxa"/>
            <w:tcBorders>
              <w:top w:val="nil"/>
              <w:left w:val="nil"/>
              <w:bottom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1,162,751</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1,194,113</w:t>
            </w:r>
          </w:p>
        </w:tc>
        <w:tc>
          <w:tcPr>
            <w:tcW w:w="810"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1,190,323</w:t>
            </w:r>
          </w:p>
        </w:tc>
        <w:tc>
          <w:tcPr>
            <w:tcW w:w="761" w:type="dxa"/>
            <w:tcBorders>
              <w:top w:val="nil"/>
              <w:left w:val="nil"/>
              <w:bottom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1,185,662</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4F8B" w:rsidRDefault="00EF4F8B" w:rsidP="00EF4F8B">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1,584</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1,625</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2,266</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2,621</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2,926</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3,077</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4F8B" w:rsidRDefault="00EF4F8B" w:rsidP="00EF4F8B">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171,354</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173,684</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270,003</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281,961</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294,911</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311,544</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4F8B" w:rsidRDefault="00EF4F8B" w:rsidP="00EF4F8B">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476,064</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476,380</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557,626</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572,644</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567,954</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548,149</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4F8B" w:rsidRDefault="00EF4F8B" w:rsidP="00EF4F8B">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4F8B" w:rsidRDefault="00EF4F8B" w:rsidP="00EF4F8B">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147,376</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147,435</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332,856</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336,887</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324,532</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322,892</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center"/>
            <w:hideMark/>
          </w:tcPr>
          <w:p w:rsidR="00EF4F8B" w:rsidRPr="008C32C5" w:rsidRDefault="00EF4F8B" w:rsidP="00EF4F8B">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36,985</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36,820</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45,930</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46,942</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47,641</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48,768</w:t>
            </w:r>
          </w:p>
        </w:tc>
      </w:tr>
      <w:tr w:rsidR="00EF4F8B" w:rsidRPr="009B6E8A" w:rsidTr="00BD56D8">
        <w:trPr>
          <w:trHeight w:hRule="exact" w:val="369"/>
          <w:jc w:val="center"/>
        </w:trPr>
        <w:tc>
          <w:tcPr>
            <w:tcW w:w="3341" w:type="dxa"/>
            <w:gridSpan w:val="2"/>
            <w:tcBorders>
              <w:top w:val="nil"/>
              <w:left w:val="nil"/>
              <w:right w:val="nil"/>
            </w:tcBorders>
            <w:shd w:val="clear" w:color="auto" w:fill="auto"/>
            <w:noWrap/>
            <w:vAlign w:val="center"/>
            <w:hideMark/>
          </w:tcPr>
          <w:p w:rsidR="00EF4F8B" w:rsidRDefault="00EF4F8B" w:rsidP="00EF4F8B">
            <w:pPr>
              <w:ind w:firstLineChars="196" w:firstLine="314"/>
              <w:jc w:val="left"/>
              <w:rPr>
                <w:szCs w:val="16"/>
              </w:rPr>
            </w:pPr>
            <w:r>
              <w:rPr>
                <w:szCs w:val="16"/>
              </w:rPr>
              <w:t>iii. PSEs Special A/C</w:t>
            </w:r>
            <w:r w:rsidRPr="008C32C5">
              <w:rPr>
                <w:szCs w:val="16"/>
              </w:rPr>
              <w:t xml:space="preserve"> Debt Repayment</w:t>
            </w:r>
          </w:p>
          <w:p w:rsidR="00EF4F8B" w:rsidRPr="008C32C5" w:rsidRDefault="00EF4F8B" w:rsidP="00EF4F8B">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(24,244)</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sz w:val="14"/>
                <w:szCs w:val="14"/>
              </w:rPr>
            </w:pPr>
            <w:r>
              <w:rPr>
                <w:sz w:val="14"/>
                <w:szCs w:val="14"/>
              </w:rPr>
              <w:t>(24,244)</w:t>
            </w:r>
          </w:p>
        </w:tc>
      </w:tr>
      <w:tr w:rsidR="00EF4F8B" w:rsidRPr="009B6E8A" w:rsidTr="00BD56D8">
        <w:trPr>
          <w:trHeight w:hRule="exact" w:val="276"/>
          <w:jc w:val="center"/>
        </w:trPr>
        <w:tc>
          <w:tcPr>
            <w:tcW w:w="3341" w:type="dxa"/>
            <w:gridSpan w:val="2"/>
            <w:tcBorders>
              <w:top w:val="nil"/>
              <w:left w:val="nil"/>
              <w:right w:val="nil"/>
            </w:tcBorders>
            <w:shd w:val="clear" w:color="auto" w:fill="auto"/>
            <w:noWrap/>
            <w:vAlign w:val="center"/>
            <w:hideMark/>
          </w:tcPr>
          <w:p w:rsidR="00EF4F8B" w:rsidRDefault="00EF4F8B" w:rsidP="00EF4F8B">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(115,001)</w:t>
            </w: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(14,457)</w:t>
            </w: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241,668</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371,129</w:t>
            </w: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455,465</w:t>
            </w: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577,161</w:t>
            </w:r>
          </w:p>
        </w:tc>
      </w:tr>
      <w:tr w:rsidR="00EF4F8B" w:rsidRPr="009B6E8A" w:rsidTr="00BD56D8">
        <w:trPr>
          <w:trHeight w:hRule="exact" w:val="236"/>
          <w:jc w:val="center"/>
        </w:trPr>
        <w:tc>
          <w:tcPr>
            <w:tcW w:w="3341" w:type="dxa"/>
            <w:gridSpan w:val="2"/>
            <w:tcBorders>
              <w:top w:val="nil"/>
              <w:left w:val="nil"/>
              <w:right w:val="nil"/>
            </w:tcBorders>
            <w:shd w:val="clear" w:color="auto" w:fill="auto"/>
            <w:noWrap/>
            <w:vAlign w:val="bottom"/>
            <w:hideMark/>
          </w:tcPr>
          <w:p w:rsidR="00EF4F8B" w:rsidRPr="00F12B79" w:rsidRDefault="00EF4F8B" w:rsidP="00EF4F8B">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EF4F8B" w:rsidRPr="00F12B79" w:rsidRDefault="00EF4F8B" w:rsidP="00EF4F8B">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p>
        </w:tc>
        <w:tc>
          <w:tcPr>
            <w:tcW w:w="810" w:type="dxa"/>
            <w:tcBorders>
              <w:top w:val="nil"/>
              <w:left w:val="nil"/>
              <w:right w:val="nil"/>
            </w:tcBorders>
            <w:shd w:val="clear" w:color="auto" w:fill="auto"/>
            <w:tcMar>
              <w:left w:w="43" w:type="dxa"/>
              <w:right w:w="43" w:type="dxa"/>
            </w:tcMar>
            <w:vAlign w:val="center"/>
          </w:tcPr>
          <w:p w:rsidR="00EF4F8B" w:rsidRDefault="00EF4F8B" w:rsidP="00EF4F8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EF4F8B" w:rsidRDefault="00EF4F8B" w:rsidP="00EF4F8B">
            <w:pPr>
              <w:jc w:val="right"/>
              <w:rPr>
                <w:b/>
                <w:bCs/>
                <w:sz w:val="14"/>
                <w:szCs w:val="14"/>
              </w:rPr>
            </w:pPr>
          </w:p>
        </w:tc>
      </w:tr>
      <w:tr w:rsidR="00EF4F8B" w:rsidRPr="009B6E8A" w:rsidTr="00BD56D8">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EF4F8B" w:rsidRDefault="00EF4F8B" w:rsidP="00EF4F8B">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6,560,386</w:t>
            </w:r>
          </w:p>
        </w:tc>
        <w:tc>
          <w:tcPr>
            <w:tcW w:w="810" w:type="dxa"/>
            <w:tcBorders>
              <w:left w:val="nil"/>
              <w:bottom w:val="single" w:sz="12" w:space="0" w:color="auto"/>
              <w:right w:val="nil"/>
            </w:tcBorders>
            <w:shd w:val="clear" w:color="auto" w:fill="auto"/>
            <w:tcMar>
              <w:left w:w="43" w:type="dxa"/>
              <w:right w:w="43" w:type="dxa"/>
            </w:tcMar>
            <w:vAlign w:val="center"/>
          </w:tcPr>
          <w:p w:rsidR="00EF4F8B" w:rsidRDefault="00EF4F8B" w:rsidP="00EF4F8B">
            <w:pPr>
              <w:jc w:val="right"/>
              <w:rPr>
                <w:b/>
                <w:bCs/>
                <w:sz w:val="14"/>
                <w:szCs w:val="14"/>
              </w:rPr>
            </w:pPr>
            <w:r>
              <w:rPr>
                <w:b/>
                <w:bCs/>
                <w:sz w:val="14"/>
                <w:szCs w:val="14"/>
              </w:rPr>
              <w:t>6,599,052</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EF4F8B" w:rsidRDefault="00EF4F8B" w:rsidP="00EF4F8B">
            <w:pPr>
              <w:jc w:val="right"/>
              <w:rPr>
                <w:b/>
                <w:bCs/>
                <w:sz w:val="14"/>
                <w:szCs w:val="14"/>
              </w:rPr>
            </w:pPr>
            <w:r>
              <w:rPr>
                <w:b/>
                <w:bCs/>
                <w:sz w:val="14"/>
                <w:szCs w:val="14"/>
              </w:rPr>
              <w:t>7,536,188</w:t>
            </w:r>
          </w:p>
        </w:tc>
        <w:tc>
          <w:tcPr>
            <w:tcW w:w="810" w:type="dxa"/>
            <w:tcBorders>
              <w:left w:val="nil"/>
              <w:bottom w:val="single" w:sz="12" w:space="0" w:color="auto"/>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7,691,563</w:t>
            </w:r>
          </w:p>
        </w:tc>
        <w:tc>
          <w:tcPr>
            <w:tcW w:w="810" w:type="dxa"/>
            <w:tcBorders>
              <w:left w:val="nil"/>
              <w:bottom w:val="single" w:sz="12" w:space="0" w:color="auto"/>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7,756,899</w:t>
            </w:r>
          </w:p>
        </w:tc>
        <w:tc>
          <w:tcPr>
            <w:tcW w:w="761" w:type="dxa"/>
            <w:tcBorders>
              <w:left w:val="nil"/>
              <w:bottom w:val="single" w:sz="12" w:space="0" w:color="auto"/>
              <w:right w:val="nil"/>
            </w:tcBorders>
            <w:shd w:val="clear" w:color="auto" w:fill="auto"/>
            <w:noWrap/>
            <w:tcMar>
              <w:left w:w="43" w:type="dxa"/>
              <w:right w:w="43" w:type="dxa"/>
            </w:tcMar>
            <w:vAlign w:val="center"/>
          </w:tcPr>
          <w:p w:rsidR="00EF4F8B" w:rsidRDefault="00EF4F8B" w:rsidP="00EF4F8B">
            <w:pPr>
              <w:jc w:val="right"/>
              <w:rPr>
                <w:b/>
                <w:bCs/>
                <w:sz w:val="14"/>
                <w:szCs w:val="14"/>
              </w:rPr>
            </w:pPr>
            <w:r>
              <w:rPr>
                <w:b/>
                <w:bCs/>
                <w:sz w:val="14"/>
                <w:szCs w:val="14"/>
              </w:rPr>
              <w:t>7,867,275</w:t>
            </w:r>
          </w:p>
        </w:tc>
      </w:tr>
      <w:tr w:rsidR="00EF4F8B"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EF4F8B" w:rsidRPr="00691090" w:rsidRDefault="00EF4F8B" w:rsidP="00EF4F8B">
            <w:pPr>
              <w:jc w:val="right"/>
              <w:rPr>
                <w:sz w:val="14"/>
                <w:szCs w:val="14"/>
              </w:rPr>
            </w:pPr>
            <w:r>
              <w:rPr>
                <w:sz w:val="14"/>
                <w:szCs w:val="14"/>
              </w:rPr>
              <w:t>Source: Statistics &amp; Data Warehouse Department SBP</w:t>
            </w:r>
          </w:p>
        </w:tc>
      </w:tr>
      <w:tr w:rsidR="00EF4F8B"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EF4F8B" w:rsidRPr="00916320" w:rsidRDefault="00EF4F8B" w:rsidP="00EF4F8B">
            <w:pPr>
              <w:ind w:left="405" w:hanging="180"/>
              <w:jc w:val="left"/>
              <w:rPr>
                <w:color w:val="auto"/>
                <w:sz w:val="14"/>
                <w:szCs w:val="14"/>
              </w:rPr>
            </w:pPr>
            <w:r w:rsidRPr="00916320">
              <w:rPr>
                <w:color w:val="auto"/>
                <w:sz w:val="14"/>
                <w:szCs w:val="14"/>
              </w:rPr>
              <w:t>Note:-</w:t>
            </w:r>
          </w:p>
          <w:p w:rsidR="00EF4F8B" w:rsidRPr="00916320" w:rsidRDefault="00EF4F8B" w:rsidP="00EF4F8B">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EF4F8B" w:rsidRPr="00916320" w:rsidRDefault="00EF4F8B" w:rsidP="00EF4F8B">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EF4F8B" w:rsidRPr="00FF243E" w:rsidRDefault="00EF4F8B" w:rsidP="00EF4F8B">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F4F8B"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EF4F8B" w:rsidRDefault="00EF4F8B" w:rsidP="00EF4F8B">
            <w:pPr>
              <w:rPr>
                <w:b/>
                <w:bCs/>
                <w:sz w:val="28"/>
                <w:szCs w:val="28"/>
              </w:rPr>
            </w:pPr>
            <w:r>
              <w:rPr>
                <w:b/>
                <w:bCs/>
                <w:sz w:val="28"/>
                <w:szCs w:val="28"/>
              </w:rPr>
              <w:t>2.5   Currency in Circulation</w:t>
            </w:r>
          </w:p>
        </w:tc>
      </w:tr>
      <w:tr w:rsidR="00EF4F8B"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EF4F8B" w:rsidRDefault="00EF4F8B" w:rsidP="00EF4F8B">
            <w:pPr>
              <w:jc w:val="right"/>
              <w:rPr>
                <w:szCs w:val="16"/>
              </w:rPr>
            </w:pPr>
            <w:r>
              <w:rPr>
                <w:szCs w:val="16"/>
              </w:rPr>
              <w:t>( Million  Rupees )</w:t>
            </w:r>
          </w:p>
        </w:tc>
      </w:tr>
      <w:tr w:rsidR="001F193E" w:rsidRPr="009B6E8A" w:rsidTr="001F193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1F193E" w:rsidRPr="009B6E8A" w:rsidRDefault="001F193E" w:rsidP="00EF4F8B">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F193E" w:rsidRPr="000D5A5A" w:rsidRDefault="001F193E" w:rsidP="00EF4F8B">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3186" w:type="dxa"/>
            <w:gridSpan w:val="4"/>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1F193E" w:rsidRPr="000D5A5A" w:rsidRDefault="001F193E" w:rsidP="00EF4F8B">
            <w:pPr>
              <w:rPr>
                <w:b/>
                <w:bCs/>
                <w:color w:val="auto"/>
                <w:szCs w:val="16"/>
              </w:rPr>
            </w:pPr>
            <w:r>
              <w:rPr>
                <w:b/>
                <w:bCs/>
                <w:color w:val="auto"/>
                <w:szCs w:val="16"/>
              </w:rPr>
              <w:t>2020</w:t>
            </w:r>
          </w:p>
        </w:tc>
        <w:tc>
          <w:tcPr>
            <w:tcW w:w="1571" w:type="dxa"/>
            <w:gridSpan w:val="2"/>
            <w:tcBorders>
              <w:top w:val="single" w:sz="12" w:space="0" w:color="auto"/>
              <w:left w:val="single" w:sz="4" w:space="0" w:color="auto"/>
              <w:right w:val="nil"/>
            </w:tcBorders>
            <w:shd w:val="clear" w:color="auto" w:fill="auto"/>
            <w:vAlign w:val="center"/>
          </w:tcPr>
          <w:p w:rsidR="001F193E" w:rsidRPr="000D5A5A" w:rsidRDefault="001F193E" w:rsidP="00EF4F8B">
            <w:pPr>
              <w:rPr>
                <w:b/>
                <w:bCs/>
                <w:color w:val="auto"/>
                <w:szCs w:val="16"/>
              </w:rPr>
            </w:pPr>
            <w:r>
              <w:rPr>
                <w:b/>
                <w:bCs/>
                <w:color w:val="auto"/>
                <w:szCs w:val="16"/>
              </w:rPr>
              <w:t>2021</w:t>
            </w:r>
          </w:p>
        </w:tc>
      </w:tr>
      <w:tr w:rsidR="00EF4F8B" w:rsidRPr="009B6E8A" w:rsidTr="00907E41">
        <w:trPr>
          <w:trHeight w:hRule="exact" w:val="212"/>
          <w:jc w:val="center"/>
        </w:trPr>
        <w:tc>
          <w:tcPr>
            <w:tcW w:w="236" w:type="dxa"/>
            <w:tcBorders>
              <w:left w:val="nil"/>
              <w:bottom w:val="single" w:sz="12" w:space="0" w:color="auto"/>
            </w:tcBorders>
            <w:shd w:val="clear" w:color="auto" w:fill="auto"/>
            <w:noWrap/>
            <w:vAlign w:val="center"/>
            <w:hideMark/>
          </w:tcPr>
          <w:p w:rsidR="00EF4F8B" w:rsidRPr="009B6E8A" w:rsidRDefault="00EF4F8B" w:rsidP="00EF4F8B">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EF4F8B" w:rsidRPr="009B6E8A" w:rsidRDefault="00EF4F8B" w:rsidP="00EF4F8B">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F4F8B" w:rsidRPr="006619BF" w:rsidRDefault="00EF4F8B" w:rsidP="00EF4F8B">
            <w:pPr>
              <w:jc w:val="right"/>
              <w:rPr>
                <w:b/>
                <w:bCs/>
                <w:color w:val="auto"/>
                <w:sz w:val="14"/>
                <w:szCs w:val="14"/>
              </w:rPr>
            </w:pPr>
            <w:r>
              <w:rPr>
                <w:b/>
                <w:bCs/>
                <w:color w:val="auto"/>
                <w:sz w:val="14"/>
                <w:szCs w:val="14"/>
              </w:rPr>
              <w:t>FY18</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F4F8B" w:rsidRPr="006619BF" w:rsidRDefault="00EF4F8B" w:rsidP="00EF4F8B">
            <w:pPr>
              <w:jc w:val="right"/>
              <w:rPr>
                <w:b/>
                <w:bCs/>
                <w:color w:val="auto"/>
                <w:sz w:val="14"/>
                <w:szCs w:val="14"/>
              </w:rPr>
            </w:pPr>
            <w:r>
              <w:rPr>
                <w:b/>
                <w:bCs/>
                <w:color w:val="auto"/>
                <w:sz w:val="14"/>
                <w:szCs w:val="14"/>
              </w:rPr>
              <w:t>FY19</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EF4F8B" w:rsidRPr="006619BF" w:rsidRDefault="00EF4F8B" w:rsidP="00EF4F8B">
            <w:pPr>
              <w:jc w:val="right"/>
              <w:rPr>
                <w:b/>
                <w:bCs/>
                <w:color w:val="auto"/>
                <w:sz w:val="14"/>
                <w:szCs w:val="14"/>
              </w:rPr>
            </w:pPr>
            <w:r>
              <w:rPr>
                <w:b/>
                <w:bCs/>
                <w:color w:val="auto"/>
                <w:sz w:val="14"/>
                <w:szCs w:val="14"/>
              </w:rPr>
              <w:t>FY20</w:t>
            </w:r>
          </w:p>
        </w:tc>
        <w:tc>
          <w:tcPr>
            <w:tcW w:w="756" w:type="dxa"/>
            <w:tcBorders>
              <w:top w:val="nil"/>
              <w:left w:val="single" w:sz="4" w:space="0" w:color="auto"/>
              <w:bottom w:val="single" w:sz="12" w:space="0" w:color="auto"/>
            </w:tcBorders>
            <w:shd w:val="clear" w:color="auto" w:fill="auto"/>
            <w:noWrap/>
            <w:tcMar>
              <w:left w:w="43" w:type="dxa"/>
              <w:right w:w="43" w:type="dxa"/>
            </w:tcMar>
            <w:vAlign w:val="center"/>
            <w:hideMark/>
          </w:tcPr>
          <w:p w:rsidR="00EF4F8B" w:rsidRPr="006619BF" w:rsidRDefault="00EF4F8B" w:rsidP="00EF4F8B">
            <w:pPr>
              <w:jc w:val="right"/>
              <w:rPr>
                <w:b/>
                <w:color w:val="auto"/>
                <w:sz w:val="14"/>
                <w:szCs w:val="14"/>
              </w:rPr>
            </w:pPr>
            <w:r>
              <w:rPr>
                <w:b/>
                <w:color w:val="auto"/>
                <w:sz w:val="14"/>
                <w:szCs w:val="14"/>
              </w:rPr>
              <w:t>Jan</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EF4F8B" w:rsidRPr="006619BF" w:rsidRDefault="00EF4F8B" w:rsidP="00EF4F8B">
            <w:pPr>
              <w:jc w:val="right"/>
              <w:rPr>
                <w:b/>
                <w:color w:val="auto"/>
                <w:sz w:val="14"/>
                <w:szCs w:val="14"/>
              </w:rPr>
            </w:pPr>
            <w:r>
              <w:rPr>
                <w:b/>
                <w:color w:val="auto"/>
                <w:sz w:val="14"/>
                <w:szCs w:val="14"/>
              </w:rPr>
              <w:t>Feb</w:t>
            </w:r>
          </w:p>
        </w:tc>
        <w:tc>
          <w:tcPr>
            <w:tcW w:w="810" w:type="dxa"/>
            <w:tcBorders>
              <w:top w:val="nil"/>
              <w:left w:val="single" w:sz="4" w:space="0" w:color="auto"/>
              <w:bottom w:val="single" w:sz="12" w:space="0" w:color="auto"/>
            </w:tcBorders>
            <w:shd w:val="clear" w:color="auto" w:fill="auto"/>
            <w:noWrap/>
            <w:tcMar>
              <w:left w:w="43" w:type="dxa"/>
              <w:right w:w="43" w:type="dxa"/>
            </w:tcMar>
            <w:vAlign w:val="center"/>
            <w:hideMark/>
          </w:tcPr>
          <w:p w:rsidR="00EF4F8B" w:rsidRPr="006619BF" w:rsidRDefault="00EF4F8B" w:rsidP="00EF4F8B">
            <w:pPr>
              <w:jc w:val="right"/>
              <w:rPr>
                <w:b/>
                <w:color w:val="auto"/>
                <w:sz w:val="14"/>
                <w:szCs w:val="14"/>
              </w:rPr>
            </w:pPr>
            <w:r>
              <w:rPr>
                <w:b/>
                <w:color w:val="auto"/>
                <w:sz w:val="14"/>
                <w:szCs w:val="14"/>
              </w:rPr>
              <w:t>Nov</w:t>
            </w:r>
          </w:p>
        </w:tc>
        <w:tc>
          <w:tcPr>
            <w:tcW w:w="810" w:type="dxa"/>
            <w:tcBorders>
              <w:top w:val="nil"/>
              <w:bottom w:val="single" w:sz="12" w:space="0" w:color="auto"/>
              <w:right w:val="single" w:sz="4" w:space="0" w:color="auto"/>
            </w:tcBorders>
            <w:shd w:val="clear" w:color="auto" w:fill="auto"/>
            <w:noWrap/>
            <w:tcMar>
              <w:left w:w="43" w:type="dxa"/>
              <w:right w:w="43" w:type="dxa"/>
            </w:tcMar>
            <w:vAlign w:val="center"/>
          </w:tcPr>
          <w:p w:rsidR="00EF4F8B" w:rsidRPr="006619BF" w:rsidRDefault="00EF4F8B" w:rsidP="00EF4F8B">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F4F8B" w:rsidRPr="006619BF" w:rsidRDefault="00EF4F8B" w:rsidP="00EF4F8B">
            <w:pPr>
              <w:jc w:val="right"/>
              <w:rPr>
                <w:b/>
                <w:color w:val="auto"/>
                <w:sz w:val="14"/>
                <w:szCs w:val="14"/>
              </w:rPr>
            </w:pPr>
            <w:r>
              <w:rPr>
                <w:b/>
                <w:color w:val="auto"/>
                <w:sz w:val="14"/>
                <w:szCs w:val="14"/>
              </w:rPr>
              <w:t xml:space="preserve">Jan </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EF4F8B" w:rsidRPr="00907E41" w:rsidRDefault="00EF4F8B" w:rsidP="00EF4F8B">
            <w:pPr>
              <w:jc w:val="right"/>
              <w:rPr>
                <w:b/>
                <w:color w:val="auto"/>
                <w:sz w:val="14"/>
                <w:szCs w:val="14"/>
                <w:vertAlign w:val="superscript"/>
              </w:rPr>
            </w:pPr>
            <w:r>
              <w:rPr>
                <w:b/>
                <w:color w:val="auto"/>
                <w:sz w:val="14"/>
                <w:szCs w:val="14"/>
              </w:rPr>
              <w:t>Feb</w:t>
            </w:r>
            <w:r w:rsidR="00907E41">
              <w:rPr>
                <w:b/>
                <w:color w:val="auto"/>
                <w:sz w:val="14"/>
                <w:szCs w:val="14"/>
                <w:vertAlign w:val="superscript"/>
              </w:rPr>
              <w:t xml:space="preserve"> P</w:t>
            </w:r>
          </w:p>
        </w:tc>
      </w:tr>
      <w:tr w:rsidR="006B31F7" w:rsidRPr="009B6E8A" w:rsidTr="00894711">
        <w:trPr>
          <w:trHeight w:hRule="exact" w:val="236"/>
          <w:jc w:val="center"/>
        </w:trPr>
        <w:tc>
          <w:tcPr>
            <w:tcW w:w="236" w:type="dxa"/>
            <w:tcBorders>
              <w:top w:val="single" w:sz="12" w:space="0" w:color="auto"/>
              <w:left w:val="nil"/>
            </w:tcBorders>
            <w:shd w:val="clear" w:color="auto" w:fill="auto"/>
            <w:noWrap/>
            <w:vAlign w:val="center"/>
            <w:hideMark/>
          </w:tcPr>
          <w:p w:rsidR="006B31F7" w:rsidRDefault="006B31F7" w:rsidP="006B31F7">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6B31F7" w:rsidRDefault="006B31F7" w:rsidP="006B31F7">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5,608,913</w:t>
            </w:r>
          </w:p>
        </w:tc>
        <w:tc>
          <w:tcPr>
            <w:tcW w:w="810" w:type="dxa"/>
            <w:tcBorders>
              <w:top w:val="single" w:sz="12" w:space="0" w:color="auto"/>
              <w:left w:val="nil"/>
              <w:right w:val="nil"/>
            </w:tcBorders>
            <w:shd w:val="clear" w:color="auto" w:fill="auto"/>
            <w:tcMar>
              <w:left w:w="43" w:type="dxa"/>
              <w:right w:w="43" w:type="dxa"/>
            </w:tcMar>
            <w:vAlign w:val="center"/>
          </w:tcPr>
          <w:p w:rsidR="006B31F7" w:rsidRDefault="006B31F7" w:rsidP="006B31F7">
            <w:pPr>
              <w:jc w:val="right"/>
              <w:rPr>
                <w:sz w:val="14"/>
                <w:szCs w:val="14"/>
              </w:rPr>
            </w:pPr>
            <w:r>
              <w:rPr>
                <w:sz w:val="14"/>
                <w:szCs w:val="14"/>
              </w:rPr>
              <w:t>5,657,972</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6,530,333</w:t>
            </w:r>
          </w:p>
        </w:tc>
        <w:tc>
          <w:tcPr>
            <w:tcW w:w="810" w:type="dxa"/>
            <w:tcBorders>
              <w:top w:val="single" w:sz="12" w:space="0" w:color="auto"/>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6,543,806</w:t>
            </w:r>
          </w:p>
        </w:tc>
        <w:tc>
          <w:tcPr>
            <w:tcW w:w="810" w:type="dxa"/>
            <w:tcBorders>
              <w:top w:val="single" w:sz="12" w:space="0" w:color="auto"/>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6,678,048</w:t>
            </w:r>
          </w:p>
        </w:tc>
        <w:tc>
          <w:tcPr>
            <w:tcW w:w="761" w:type="dxa"/>
            <w:tcBorders>
              <w:top w:val="single" w:sz="12" w:space="0" w:color="auto"/>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6,798,799</w:t>
            </w:r>
          </w:p>
        </w:tc>
      </w:tr>
      <w:tr w:rsidR="006B31F7" w:rsidRPr="009B6E8A" w:rsidTr="00894711">
        <w:trPr>
          <w:trHeight w:hRule="exact" w:val="236"/>
          <w:jc w:val="center"/>
        </w:trPr>
        <w:tc>
          <w:tcPr>
            <w:tcW w:w="236" w:type="dxa"/>
            <w:tcBorders>
              <w:top w:val="nil"/>
              <w:left w:val="nil"/>
            </w:tcBorders>
            <w:shd w:val="clear" w:color="auto" w:fill="auto"/>
            <w:noWrap/>
            <w:vAlign w:val="center"/>
            <w:hideMark/>
          </w:tcPr>
          <w:p w:rsidR="006B31F7" w:rsidRDefault="006B31F7" w:rsidP="006B31F7">
            <w:pPr>
              <w:jc w:val="left"/>
              <w:rPr>
                <w:sz w:val="14"/>
                <w:szCs w:val="14"/>
              </w:rPr>
            </w:pPr>
            <w:r>
              <w:rPr>
                <w:sz w:val="14"/>
                <w:szCs w:val="14"/>
              </w:rPr>
              <w:t>2</w:t>
            </w:r>
          </w:p>
        </w:tc>
        <w:tc>
          <w:tcPr>
            <w:tcW w:w="3105" w:type="dxa"/>
            <w:tcBorders>
              <w:top w:val="nil"/>
              <w:right w:val="nil"/>
            </w:tcBorders>
            <w:shd w:val="clear" w:color="auto" w:fill="auto"/>
            <w:vAlign w:val="center"/>
          </w:tcPr>
          <w:p w:rsidR="006B31F7" w:rsidRDefault="006B31F7" w:rsidP="006B31F7">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9,962</w:t>
            </w:r>
          </w:p>
        </w:tc>
        <w:tc>
          <w:tcPr>
            <w:tcW w:w="810" w:type="dxa"/>
            <w:tcBorders>
              <w:top w:val="nil"/>
              <w:left w:val="nil"/>
              <w:right w:val="nil"/>
            </w:tcBorders>
            <w:shd w:val="clear" w:color="auto" w:fill="auto"/>
            <w:tcMar>
              <w:left w:w="43" w:type="dxa"/>
              <w:right w:w="43" w:type="dxa"/>
            </w:tcMar>
            <w:vAlign w:val="center"/>
          </w:tcPr>
          <w:p w:rsidR="006B31F7" w:rsidRDefault="006B31F7" w:rsidP="006B31F7">
            <w:pPr>
              <w:jc w:val="right"/>
              <w:rPr>
                <w:sz w:val="14"/>
                <w:szCs w:val="14"/>
              </w:rPr>
            </w:pPr>
            <w:r>
              <w:rPr>
                <w:sz w:val="14"/>
                <w:szCs w:val="14"/>
              </w:rPr>
              <w:t>9,907</w:t>
            </w:r>
          </w:p>
        </w:tc>
        <w:tc>
          <w:tcPr>
            <w:tcW w:w="810"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9,951</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9,980</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9,515</w:t>
            </w:r>
          </w:p>
        </w:tc>
        <w:tc>
          <w:tcPr>
            <w:tcW w:w="76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9,587</w:t>
            </w:r>
          </w:p>
        </w:tc>
      </w:tr>
      <w:tr w:rsidR="006B31F7" w:rsidRPr="009B6E8A" w:rsidTr="00894711">
        <w:trPr>
          <w:trHeight w:hRule="exact" w:val="236"/>
          <w:jc w:val="center"/>
        </w:trPr>
        <w:tc>
          <w:tcPr>
            <w:tcW w:w="236" w:type="dxa"/>
            <w:tcBorders>
              <w:top w:val="nil"/>
              <w:left w:val="nil"/>
            </w:tcBorders>
            <w:shd w:val="clear" w:color="auto" w:fill="auto"/>
            <w:noWrap/>
            <w:vAlign w:val="center"/>
            <w:hideMark/>
          </w:tcPr>
          <w:p w:rsidR="006B31F7" w:rsidRDefault="006B31F7" w:rsidP="006B31F7">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6B31F7" w:rsidRDefault="006B31F7" w:rsidP="006B31F7">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b/>
                <w:bCs/>
                <w:sz w:val="14"/>
                <w:szCs w:val="14"/>
              </w:rPr>
            </w:pPr>
            <w:r>
              <w:rPr>
                <w:b/>
                <w:bCs/>
                <w:sz w:val="14"/>
                <w:szCs w:val="14"/>
              </w:rPr>
              <w:t>5,618,875</w:t>
            </w:r>
          </w:p>
        </w:tc>
        <w:tc>
          <w:tcPr>
            <w:tcW w:w="810" w:type="dxa"/>
            <w:tcBorders>
              <w:top w:val="nil"/>
              <w:left w:val="nil"/>
              <w:right w:val="nil"/>
            </w:tcBorders>
            <w:shd w:val="clear" w:color="auto" w:fill="auto"/>
            <w:tcMar>
              <w:left w:w="43" w:type="dxa"/>
              <w:right w:w="43" w:type="dxa"/>
            </w:tcMar>
            <w:vAlign w:val="center"/>
          </w:tcPr>
          <w:p w:rsidR="006B31F7" w:rsidRDefault="006B31F7" w:rsidP="006B31F7">
            <w:pPr>
              <w:jc w:val="right"/>
              <w:rPr>
                <w:b/>
                <w:bCs/>
                <w:sz w:val="14"/>
                <w:szCs w:val="14"/>
              </w:rPr>
            </w:pPr>
            <w:r>
              <w:rPr>
                <w:b/>
                <w:bCs/>
                <w:sz w:val="14"/>
                <w:szCs w:val="14"/>
              </w:rPr>
              <w:t>5,667,879</w:t>
            </w:r>
          </w:p>
        </w:tc>
        <w:tc>
          <w:tcPr>
            <w:tcW w:w="810"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b/>
                <w:bCs/>
                <w:sz w:val="14"/>
                <w:szCs w:val="14"/>
              </w:rPr>
            </w:pPr>
            <w:r>
              <w:rPr>
                <w:b/>
                <w:bCs/>
                <w:sz w:val="14"/>
                <w:szCs w:val="14"/>
              </w:rPr>
              <w:t>6,540,284</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6,553,786</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6,687,563</w:t>
            </w:r>
          </w:p>
        </w:tc>
        <w:tc>
          <w:tcPr>
            <w:tcW w:w="761" w:type="dxa"/>
            <w:tcBorders>
              <w:top w:val="nil"/>
              <w:left w:val="nil"/>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6,808,386</w:t>
            </w:r>
          </w:p>
        </w:tc>
      </w:tr>
      <w:tr w:rsidR="006B31F7" w:rsidRPr="009B6E8A" w:rsidTr="00894711">
        <w:trPr>
          <w:trHeight w:hRule="exact" w:val="236"/>
          <w:jc w:val="center"/>
        </w:trPr>
        <w:tc>
          <w:tcPr>
            <w:tcW w:w="236" w:type="dxa"/>
            <w:tcBorders>
              <w:top w:val="nil"/>
              <w:left w:val="nil"/>
            </w:tcBorders>
            <w:shd w:val="clear" w:color="auto" w:fill="auto"/>
            <w:noWrap/>
            <w:vAlign w:val="center"/>
            <w:hideMark/>
          </w:tcPr>
          <w:p w:rsidR="006B31F7" w:rsidRDefault="006B31F7" w:rsidP="006B31F7">
            <w:pPr>
              <w:jc w:val="left"/>
              <w:rPr>
                <w:sz w:val="14"/>
                <w:szCs w:val="14"/>
              </w:rPr>
            </w:pPr>
            <w:r>
              <w:rPr>
                <w:sz w:val="14"/>
                <w:szCs w:val="14"/>
              </w:rPr>
              <w:t>4</w:t>
            </w:r>
          </w:p>
        </w:tc>
        <w:tc>
          <w:tcPr>
            <w:tcW w:w="3105" w:type="dxa"/>
            <w:tcBorders>
              <w:top w:val="nil"/>
              <w:right w:val="nil"/>
            </w:tcBorders>
            <w:shd w:val="clear" w:color="auto" w:fill="auto"/>
            <w:vAlign w:val="center"/>
          </w:tcPr>
          <w:p w:rsidR="006B31F7" w:rsidRDefault="006B31F7" w:rsidP="006B31F7">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172.707</w:t>
            </w:r>
          </w:p>
        </w:tc>
        <w:tc>
          <w:tcPr>
            <w:tcW w:w="756"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174</w:t>
            </w:r>
          </w:p>
        </w:tc>
        <w:tc>
          <w:tcPr>
            <w:tcW w:w="810" w:type="dxa"/>
            <w:tcBorders>
              <w:top w:val="nil"/>
              <w:left w:val="nil"/>
              <w:right w:val="nil"/>
            </w:tcBorders>
            <w:shd w:val="clear" w:color="auto" w:fill="auto"/>
            <w:tcMar>
              <w:left w:w="43" w:type="dxa"/>
              <w:right w:w="43" w:type="dxa"/>
            </w:tcMar>
            <w:vAlign w:val="center"/>
          </w:tcPr>
          <w:p w:rsidR="006B31F7" w:rsidRDefault="006B31F7" w:rsidP="006B31F7">
            <w:pPr>
              <w:jc w:val="right"/>
              <w:rPr>
                <w:sz w:val="14"/>
                <w:szCs w:val="14"/>
              </w:rPr>
            </w:pPr>
            <w:r>
              <w:rPr>
                <w:sz w:val="14"/>
                <w:szCs w:val="14"/>
              </w:rPr>
              <w:t>118.409</w:t>
            </w:r>
          </w:p>
        </w:tc>
        <w:tc>
          <w:tcPr>
            <w:tcW w:w="810"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163</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191</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113</w:t>
            </w:r>
          </w:p>
        </w:tc>
        <w:tc>
          <w:tcPr>
            <w:tcW w:w="76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185</w:t>
            </w:r>
          </w:p>
        </w:tc>
      </w:tr>
      <w:tr w:rsidR="006B31F7" w:rsidRPr="009B6E8A" w:rsidTr="00894711">
        <w:trPr>
          <w:trHeight w:hRule="exact" w:val="236"/>
          <w:jc w:val="center"/>
        </w:trPr>
        <w:tc>
          <w:tcPr>
            <w:tcW w:w="236" w:type="dxa"/>
            <w:tcBorders>
              <w:top w:val="nil"/>
              <w:left w:val="nil"/>
            </w:tcBorders>
            <w:shd w:val="clear" w:color="auto" w:fill="auto"/>
            <w:noWrap/>
            <w:vAlign w:val="center"/>
            <w:hideMark/>
          </w:tcPr>
          <w:p w:rsidR="006B31F7" w:rsidRDefault="006B31F7" w:rsidP="006B31F7">
            <w:pPr>
              <w:jc w:val="left"/>
              <w:rPr>
                <w:sz w:val="14"/>
                <w:szCs w:val="14"/>
              </w:rPr>
            </w:pPr>
            <w:r>
              <w:rPr>
                <w:sz w:val="14"/>
                <w:szCs w:val="14"/>
              </w:rPr>
              <w:t>5</w:t>
            </w:r>
          </w:p>
        </w:tc>
        <w:tc>
          <w:tcPr>
            <w:tcW w:w="3105" w:type="dxa"/>
            <w:tcBorders>
              <w:top w:val="nil"/>
              <w:right w:val="nil"/>
            </w:tcBorders>
            <w:shd w:val="clear" w:color="auto" w:fill="auto"/>
            <w:vAlign w:val="center"/>
          </w:tcPr>
          <w:p w:rsidR="006B31F7" w:rsidRDefault="006B31F7" w:rsidP="006B31F7">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1028.584</w:t>
            </w:r>
          </w:p>
        </w:tc>
        <w:tc>
          <w:tcPr>
            <w:tcW w:w="756"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633</w:t>
            </w:r>
          </w:p>
        </w:tc>
        <w:tc>
          <w:tcPr>
            <w:tcW w:w="810" w:type="dxa"/>
            <w:tcBorders>
              <w:top w:val="nil"/>
              <w:left w:val="nil"/>
              <w:right w:val="nil"/>
            </w:tcBorders>
            <w:shd w:val="clear" w:color="auto" w:fill="auto"/>
            <w:tcMar>
              <w:left w:w="43" w:type="dxa"/>
              <w:right w:w="43" w:type="dxa"/>
            </w:tcMar>
            <w:vAlign w:val="center"/>
          </w:tcPr>
          <w:p w:rsidR="006B31F7" w:rsidRDefault="006B31F7" w:rsidP="006B31F7">
            <w:pPr>
              <w:jc w:val="right"/>
              <w:rPr>
                <w:sz w:val="14"/>
                <w:szCs w:val="14"/>
              </w:rPr>
            </w:pPr>
            <w:r>
              <w:rPr>
                <w:sz w:val="14"/>
                <w:szCs w:val="14"/>
              </w:rPr>
              <w:t>536.862</w:t>
            </w:r>
          </w:p>
        </w:tc>
        <w:tc>
          <w:tcPr>
            <w:tcW w:w="810"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389</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789</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654</w:t>
            </w:r>
          </w:p>
        </w:tc>
        <w:tc>
          <w:tcPr>
            <w:tcW w:w="76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577</w:t>
            </w:r>
          </w:p>
        </w:tc>
      </w:tr>
      <w:tr w:rsidR="006B31F7" w:rsidRPr="009B6E8A" w:rsidTr="00894711">
        <w:trPr>
          <w:trHeight w:hRule="exact" w:val="236"/>
          <w:jc w:val="center"/>
        </w:trPr>
        <w:tc>
          <w:tcPr>
            <w:tcW w:w="236" w:type="dxa"/>
            <w:tcBorders>
              <w:top w:val="nil"/>
              <w:left w:val="nil"/>
            </w:tcBorders>
            <w:shd w:val="clear" w:color="auto" w:fill="auto"/>
            <w:noWrap/>
            <w:vAlign w:val="center"/>
            <w:hideMark/>
          </w:tcPr>
          <w:p w:rsidR="006B31F7" w:rsidRPr="00C12EB9" w:rsidRDefault="006B31F7" w:rsidP="006B31F7">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6B31F7" w:rsidRDefault="006B31F7" w:rsidP="006B31F7">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259,464</w:t>
            </w:r>
          </w:p>
        </w:tc>
        <w:tc>
          <w:tcPr>
            <w:tcW w:w="810" w:type="dxa"/>
            <w:tcBorders>
              <w:top w:val="nil"/>
              <w:left w:val="nil"/>
              <w:right w:val="nil"/>
            </w:tcBorders>
            <w:shd w:val="clear" w:color="auto" w:fill="auto"/>
            <w:tcMar>
              <w:left w:w="43" w:type="dxa"/>
              <w:right w:w="43" w:type="dxa"/>
            </w:tcMar>
            <w:vAlign w:val="center"/>
          </w:tcPr>
          <w:p w:rsidR="006B31F7" w:rsidRDefault="006B31F7" w:rsidP="006B31F7">
            <w:pPr>
              <w:jc w:val="right"/>
              <w:rPr>
                <w:sz w:val="14"/>
                <w:szCs w:val="14"/>
              </w:rPr>
            </w:pPr>
            <w:r>
              <w:rPr>
                <w:sz w:val="14"/>
                <w:szCs w:val="14"/>
              </w:rPr>
              <w:t>243,907</w:t>
            </w:r>
          </w:p>
        </w:tc>
        <w:tc>
          <w:tcPr>
            <w:tcW w:w="810" w:type="dxa"/>
            <w:tcBorders>
              <w:top w:val="nil"/>
              <w:left w:val="nil"/>
              <w:right w:val="nil"/>
            </w:tcBorders>
            <w:shd w:val="clear" w:color="auto" w:fill="auto"/>
            <w:noWrap/>
            <w:tcMar>
              <w:left w:w="43" w:type="dxa"/>
              <w:right w:w="43" w:type="dxa"/>
            </w:tcMar>
            <w:vAlign w:val="center"/>
            <w:hideMark/>
          </w:tcPr>
          <w:p w:rsidR="006B31F7" w:rsidRDefault="006B31F7" w:rsidP="006B31F7">
            <w:pPr>
              <w:jc w:val="right"/>
              <w:rPr>
                <w:sz w:val="14"/>
                <w:szCs w:val="14"/>
              </w:rPr>
            </w:pPr>
            <w:r>
              <w:rPr>
                <w:sz w:val="14"/>
                <w:szCs w:val="14"/>
              </w:rPr>
              <w:t>337,495</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346,318</w:t>
            </w:r>
          </w:p>
        </w:tc>
        <w:tc>
          <w:tcPr>
            <w:tcW w:w="810"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323,031</w:t>
            </w:r>
          </w:p>
        </w:tc>
        <w:tc>
          <w:tcPr>
            <w:tcW w:w="761" w:type="dxa"/>
            <w:tcBorders>
              <w:top w:val="nil"/>
              <w:left w:val="nil"/>
              <w:right w:val="nil"/>
            </w:tcBorders>
            <w:shd w:val="clear" w:color="auto" w:fill="auto"/>
            <w:noWrap/>
            <w:tcMar>
              <w:left w:w="43" w:type="dxa"/>
              <w:right w:w="43" w:type="dxa"/>
            </w:tcMar>
            <w:vAlign w:val="center"/>
          </w:tcPr>
          <w:p w:rsidR="006B31F7" w:rsidRDefault="006B31F7" w:rsidP="006B31F7">
            <w:pPr>
              <w:jc w:val="right"/>
              <w:rPr>
                <w:sz w:val="14"/>
                <w:szCs w:val="14"/>
              </w:rPr>
            </w:pPr>
            <w:r>
              <w:rPr>
                <w:sz w:val="14"/>
                <w:szCs w:val="14"/>
              </w:rPr>
              <w:t>339,338</w:t>
            </w:r>
          </w:p>
        </w:tc>
      </w:tr>
      <w:tr w:rsidR="006B31F7" w:rsidRPr="009B6E8A" w:rsidTr="00322530">
        <w:trPr>
          <w:trHeight w:hRule="exact" w:val="198"/>
          <w:jc w:val="center"/>
        </w:trPr>
        <w:tc>
          <w:tcPr>
            <w:tcW w:w="236" w:type="dxa"/>
            <w:tcBorders>
              <w:top w:val="nil"/>
              <w:left w:val="nil"/>
              <w:bottom w:val="single" w:sz="12" w:space="0" w:color="auto"/>
            </w:tcBorders>
            <w:shd w:val="clear" w:color="auto" w:fill="auto"/>
            <w:noWrap/>
            <w:vAlign w:val="center"/>
            <w:hideMark/>
          </w:tcPr>
          <w:p w:rsidR="006B31F7" w:rsidRDefault="006B31F7" w:rsidP="006B31F7">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6B31F7" w:rsidRDefault="006B31F7" w:rsidP="006B31F7">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6B31F7" w:rsidRDefault="006B31F7" w:rsidP="006B31F7">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6B31F7" w:rsidRDefault="006B31F7" w:rsidP="006B31F7">
            <w:pPr>
              <w:jc w:val="right"/>
              <w:rPr>
                <w:b/>
                <w:bCs/>
                <w:sz w:val="14"/>
                <w:szCs w:val="14"/>
              </w:rPr>
            </w:pPr>
            <w:r>
              <w:rPr>
                <w:b/>
                <w:bCs/>
                <w:sz w:val="14"/>
                <w:szCs w:val="14"/>
              </w:rPr>
              <w:t>5,358,604</w:t>
            </w:r>
          </w:p>
        </w:tc>
        <w:tc>
          <w:tcPr>
            <w:tcW w:w="810" w:type="dxa"/>
            <w:tcBorders>
              <w:top w:val="nil"/>
              <w:left w:val="nil"/>
              <w:bottom w:val="single" w:sz="12" w:space="0" w:color="auto"/>
              <w:right w:val="nil"/>
            </w:tcBorders>
            <w:shd w:val="clear" w:color="auto" w:fill="auto"/>
            <w:tcMar>
              <w:left w:w="43" w:type="dxa"/>
              <w:right w:w="43" w:type="dxa"/>
            </w:tcMar>
            <w:vAlign w:val="center"/>
          </w:tcPr>
          <w:p w:rsidR="006B31F7" w:rsidRDefault="006B31F7" w:rsidP="006B31F7">
            <w:pPr>
              <w:jc w:val="right"/>
              <w:rPr>
                <w:b/>
                <w:bCs/>
                <w:sz w:val="14"/>
                <w:szCs w:val="14"/>
              </w:rPr>
            </w:pPr>
            <w:r>
              <w:rPr>
                <w:b/>
                <w:bCs/>
                <w:sz w:val="14"/>
                <w:szCs w:val="14"/>
              </w:rPr>
              <w:t>5,423,316</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B31F7" w:rsidRDefault="006B31F7" w:rsidP="006B31F7">
            <w:pPr>
              <w:jc w:val="right"/>
              <w:rPr>
                <w:b/>
                <w:bCs/>
                <w:sz w:val="14"/>
                <w:szCs w:val="14"/>
              </w:rPr>
            </w:pPr>
            <w:r>
              <w:rPr>
                <w:b/>
                <w:bCs/>
                <w:sz w:val="14"/>
                <w:szCs w:val="14"/>
              </w:rPr>
              <w:t>6,202,236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6,206,488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6,363,765</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6B31F7" w:rsidRDefault="006B31F7" w:rsidP="006B31F7">
            <w:pPr>
              <w:jc w:val="right"/>
              <w:rPr>
                <w:b/>
                <w:bCs/>
                <w:sz w:val="14"/>
                <w:szCs w:val="14"/>
              </w:rPr>
            </w:pPr>
            <w:r>
              <w:rPr>
                <w:b/>
                <w:bCs/>
                <w:sz w:val="14"/>
                <w:szCs w:val="14"/>
              </w:rPr>
              <w:t>6,468,286</w:t>
            </w:r>
          </w:p>
        </w:tc>
      </w:tr>
      <w:tr w:rsidR="00EF4F8B" w:rsidRPr="009B6E8A" w:rsidTr="00BB72C2">
        <w:trPr>
          <w:trHeight w:val="825"/>
          <w:jc w:val="center"/>
        </w:trPr>
        <w:tc>
          <w:tcPr>
            <w:tcW w:w="10497" w:type="dxa"/>
            <w:gridSpan w:val="11"/>
            <w:tcBorders>
              <w:top w:val="nil"/>
              <w:left w:val="nil"/>
              <w:right w:val="nil"/>
            </w:tcBorders>
            <w:shd w:val="clear" w:color="auto" w:fill="auto"/>
            <w:noWrap/>
            <w:hideMark/>
          </w:tcPr>
          <w:p w:rsidR="00EF4F8B" w:rsidRPr="00916320" w:rsidRDefault="00EF4F8B" w:rsidP="00EF4F8B">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EF4F8B" w:rsidRDefault="00EF4F8B" w:rsidP="00EF4F8B">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 xml:space="preserve">From </w:t>
            </w:r>
            <w:proofErr w:type="gramStart"/>
            <w:r w:rsidRPr="00A95445">
              <w:rPr>
                <w:rFonts w:ascii="Times New Roman" w:eastAsia="Times New Roman" w:hAnsi="Times New Roman"/>
                <w:sz w:val="14"/>
                <w:szCs w:val="14"/>
              </w:rPr>
              <w:t>July,</w:t>
            </w:r>
            <w:proofErr w:type="gramEnd"/>
            <w:r w:rsidRPr="00A95445">
              <w:rPr>
                <w:rFonts w:ascii="Times New Roman" w:eastAsia="Times New Roman" w:hAnsi="Times New Roman"/>
                <w:sz w:val="14"/>
                <w:szCs w:val="14"/>
              </w:rPr>
              <w:t xml:space="preserve"> 2020 and onwards five rupee bills &amp; above have been renamed as banknotes.</w:t>
            </w:r>
          </w:p>
          <w:p w:rsidR="00EF4F8B" w:rsidRPr="00916320" w:rsidRDefault="00EF4F8B" w:rsidP="00EF4F8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EF4F8B" w:rsidRPr="00916320" w:rsidRDefault="00EF4F8B" w:rsidP="00EF4F8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EF4F8B" w:rsidRPr="006F5B38" w:rsidRDefault="00EF4F8B" w:rsidP="00EF4F8B">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w:t>
            </w:r>
            <w:proofErr w:type="gramStart"/>
            <w:r w:rsidRPr="00916320">
              <w:rPr>
                <w:rFonts w:ascii="Times New Roman" w:eastAsia="Times New Roman" w:hAnsi="Times New Roman"/>
                <w:sz w:val="14"/>
                <w:szCs w:val="14"/>
              </w:rPr>
              <w:t>is based</w:t>
            </w:r>
            <w:proofErr w:type="gramEnd"/>
            <w:r w:rsidRPr="00916320">
              <w:rPr>
                <w:rFonts w:ascii="Times New Roman" w:eastAsia="Times New Roman" w:hAnsi="Times New Roman"/>
                <w:sz w:val="14"/>
                <w:szCs w:val="14"/>
              </w:rPr>
              <w:t xml:space="preserve">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810"/>
        <w:gridCol w:w="720"/>
        <w:gridCol w:w="720"/>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A45131">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297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1464" w:type="dxa"/>
            <w:gridSpan w:val="2"/>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A45131" w:rsidRPr="00247299" w:rsidTr="00A45131">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A45131" w:rsidRPr="00247299" w:rsidRDefault="00A45131" w:rsidP="00A45131">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A45131" w:rsidRPr="006619BF" w:rsidRDefault="00A45131" w:rsidP="00A45131">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45131" w:rsidRPr="006619BF" w:rsidRDefault="00A45131" w:rsidP="00A45131">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45131" w:rsidRPr="006619BF" w:rsidRDefault="00A45131" w:rsidP="00A45131">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45131" w:rsidRPr="006619BF" w:rsidRDefault="00A45131" w:rsidP="00A45131">
            <w:pPr>
              <w:jc w:val="right"/>
              <w:rPr>
                <w:b/>
                <w:color w:val="auto"/>
                <w:sz w:val="14"/>
                <w:szCs w:val="14"/>
              </w:rPr>
            </w:pPr>
            <w:r>
              <w:rPr>
                <w:b/>
                <w:color w:val="auto"/>
                <w:sz w:val="14"/>
                <w:szCs w:val="14"/>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5131" w:rsidRPr="006619BF" w:rsidRDefault="00A45131" w:rsidP="00A45131">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45131" w:rsidRPr="006619BF" w:rsidRDefault="00A45131" w:rsidP="00A45131">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5131" w:rsidRPr="006619BF" w:rsidRDefault="00A45131" w:rsidP="00A45131">
            <w:pPr>
              <w:jc w:val="right"/>
              <w:rPr>
                <w:b/>
                <w:color w:val="auto"/>
                <w:sz w:val="14"/>
                <w:szCs w:val="14"/>
              </w:rPr>
            </w:pPr>
            <w:r>
              <w:rPr>
                <w:b/>
                <w:color w:val="auto"/>
                <w:sz w:val="14"/>
                <w:szCs w:val="14"/>
              </w:rPr>
              <w:t xml:space="preserve">Dec </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5131" w:rsidRPr="006619BF" w:rsidRDefault="00A45131" w:rsidP="00A45131">
            <w:pPr>
              <w:jc w:val="right"/>
              <w:rPr>
                <w:b/>
                <w:color w:val="auto"/>
                <w:sz w:val="14"/>
                <w:szCs w:val="14"/>
              </w:rPr>
            </w:pPr>
            <w:r>
              <w:rPr>
                <w:b/>
                <w:color w:val="auto"/>
                <w:sz w:val="14"/>
                <w:szCs w:val="14"/>
              </w:rPr>
              <w:t>Jan</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A45131" w:rsidRPr="00A45131" w:rsidRDefault="00A45131" w:rsidP="00A45131">
            <w:pPr>
              <w:jc w:val="right"/>
              <w:rPr>
                <w:b/>
                <w:color w:val="auto"/>
                <w:sz w:val="14"/>
                <w:szCs w:val="14"/>
                <w:vertAlign w:val="superscript"/>
              </w:rPr>
            </w:pPr>
            <w:r>
              <w:rPr>
                <w:b/>
                <w:color w:val="auto"/>
                <w:sz w:val="14"/>
                <w:szCs w:val="14"/>
              </w:rPr>
              <w:t>Feb</w:t>
            </w:r>
            <w:r>
              <w:rPr>
                <w:b/>
                <w:color w:val="auto"/>
                <w:sz w:val="14"/>
                <w:szCs w:val="14"/>
                <w:vertAlign w:val="superscript"/>
              </w:rPr>
              <w:t xml:space="preserve"> P</w:t>
            </w:r>
          </w:p>
        </w:tc>
      </w:tr>
      <w:tr w:rsidR="00A45131" w:rsidRPr="00247299" w:rsidTr="00AB7A08">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A45131" w:rsidRPr="00247299" w:rsidRDefault="00A45131" w:rsidP="00A45131">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A45131" w:rsidRPr="00247299" w:rsidRDefault="00A45131" w:rsidP="00A45131">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A45131" w:rsidRPr="00247299" w:rsidRDefault="00A45131" w:rsidP="00A4513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45131" w:rsidRPr="00247299" w:rsidRDefault="00A45131" w:rsidP="00A451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45131" w:rsidRPr="00247299" w:rsidRDefault="00A45131" w:rsidP="00A451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45131" w:rsidRPr="00247299" w:rsidRDefault="00A45131" w:rsidP="00A451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45131" w:rsidRPr="00247299" w:rsidRDefault="00A45131" w:rsidP="00A4513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A45131" w:rsidRPr="00247299" w:rsidRDefault="00A45131" w:rsidP="00A45131">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A45131" w:rsidRPr="00247299" w:rsidRDefault="00A45131" w:rsidP="00A45131">
            <w:pPr>
              <w:jc w:val="right"/>
              <w:rPr>
                <w:rFonts w:ascii="Calibri" w:hAnsi="Calibri"/>
                <w:sz w:val="22"/>
                <w:szCs w:val="22"/>
              </w:rPr>
            </w:pP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5,358,604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5,423,316</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6,202,236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6,206,488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6,363,765</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6,468,286</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33,250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33,295</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53,427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57,670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55,971</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57,347</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13,033,653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13,222,407</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14,849,009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15,806,567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15,190,482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15,342,458</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1,009,161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996,653</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1,053,842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1,053,597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1,053,661</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i/>
                <w:iCs/>
                <w:sz w:val="14"/>
                <w:szCs w:val="14"/>
              </w:rPr>
            </w:pPr>
            <w:r>
              <w:rPr>
                <w:i/>
                <w:iCs/>
                <w:sz w:val="14"/>
                <w:szCs w:val="14"/>
              </w:rPr>
              <w:t>1,048,895</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18,425,506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21,104,673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22,070,725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21,610,218</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21,868,092</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A45131" w:rsidRPr="00D01D84" w:rsidRDefault="00A45131" w:rsidP="00A45131">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(450,243)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(380,130)</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(40,395)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62,604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78,155</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79,068</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(167,864)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(82,265)</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79,510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164,156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171,176</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174,185</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(282,379)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(297,866)</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(119,904)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(101,552)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(93,021)</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(95,117)</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18,875,749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19,059,149</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21,145,068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22,008,121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21,532,062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21,789,023</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5,931,872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5,882,193</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6,293,928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6,333,295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6,395,400</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6,507,428</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12,943,877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13,176,956</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14,851,140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15,674,826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15,136,662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15,281,596</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12,296,617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12,434,280</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14,517,324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14,906,305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14,718,869</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14,857,342</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11,629,025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11,786,751</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13,798,497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14,185,560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14,004,834</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14,186,102</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6,046,009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5,896,045</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6,043,817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5,952,896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5,928,361</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5,917,624</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6,567,265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6,423,175</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6,355,285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6,395,706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6,432,040</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6,483,040</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(1,094,647)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(1,286,833)</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(844,285)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(616,694)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(590,426)</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(563,165)</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(484,207)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(487,058)</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(274,193)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(405,760)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(462,844)</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(516,510)</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(71,421)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(75,406)</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(63,911)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(77,684)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(78,762)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(85,229)</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(96,388)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(87,260)</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(23,365)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(31,614)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(38,462)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(43,493)</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(224,574)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(238,719)</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(130,619)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(213,045)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(263,353)</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(283,730)</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(91,823)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(85,673)</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(56,298)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(83,418)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(82,267)</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(104,059)</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(19,387)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(18,242)</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(16,488)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(17,655)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(20,572)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(29,240)</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(17,661)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(21,831)</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(20,788)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(19,395)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(20,263)</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(19,666)</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5,583,015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5,890,706</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7,754,681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8,232,664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8,076,473</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8,268,478</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6,474,354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6,810,854</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8,749,222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9,254,690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9,116,381</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9,311,088</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(1,188,064)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(1,212,439)</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(1,369,896)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(1,389,926)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(1,397,893)</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(1,386,251)</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(891,339)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(920,148)</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(994,542)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(1,022,026)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(1,039,908)</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(1,042,610)</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(892,363)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(921,172)</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(995,566)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(1,023,050)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(1,040,932)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(1,043,634)</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679,470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659,500</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732,071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734,174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725,858</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683,122</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(11,878)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(11,971)</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(13,243)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(13,429)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(11,822)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(11,882)</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8,246,114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8,314,527</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8,336,028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8,690,270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8,659,508</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8,751,537</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6,841,343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6,916,520</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6,839,458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7,206,389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7,146,085</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7,266,467</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5,352,951</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5,386,452</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5,249,206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5,504,229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5,456,975</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5,528,191</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855,315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871,386</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883,146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951,089</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925,776</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942,445</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633,077</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658,681</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707,106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751,072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763,334</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795,831</w:t>
            </w:r>
          </w:p>
        </w:tc>
      </w:tr>
      <w:tr w:rsidR="00A45131" w:rsidRPr="00247299" w:rsidTr="00AB7A08">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A45131" w:rsidRPr="00AC5C7D" w:rsidRDefault="00A45131" w:rsidP="00A45131">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1,392,030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1,385,431</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1,474,883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1,461,183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1,490,025</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1,460,546</w:t>
            </w:r>
          </w:p>
        </w:tc>
      </w:tr>
      <w:tr w:rsidR="00A45131" w:rsidRPr="00247299" w:rsidTr="00FA25FE">
        <w:trPr>
          <w:trHeight w:hRule="exact" w:val="369"/>
          <w:jc w:val="center"/>
        </w:trPr>
        <w:tc>
          <w:tcPr>
            <w:tcW w:w="3337" w:type="dxa"/>
            <w:tcBorders>
              <w:top w:val="nil"/>
              <w:left w:val="nil"/>
              <w:bottom w:val="nil"/>
              <w:right w:val="nil"/>
            </w:tcBorders>
            <w:shd w:val="clear" w:color="auto" w:fill="auto"/>
            <w:noWrap/>
            <w:tcMar>
              <w:left w:w="58" w:type="dxa"/>
              <w:right w:w="0" w:type="dxa"/>
            </w:tcMar>
            <w:vAlign w:val="center"/>
            <w:hideMark/>
          </w:tcPr>
          <w:p w:rsidR="00A45131" w:rsidRPr="00AC5C7D" w:rsidRDefault="00A45131" w:rsidP="00A45131">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(24,244)</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36,985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36,820</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45,930</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46,942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47,641</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48,768</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(1,666,982)</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(1,689,659)</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(1,708,284)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(1,588,454)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(1,846,314)</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(1,819,856)</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18,425,506</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18,679,018</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r>
              <w:rPr>
                <w:b/>
                <w:bCs/>
                <w:sz w:val="14"/>
                <w:szCs w:val="14"/>
              </w:rPr>
              <w:t>21,104,673</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22,070,725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r>
              <w:rPr>
                <w:b/>
                <w:bCs/>
                <w:sz w:val="14"/>
                <w:szCs w:val="14"/>
              </w:rPr>
              <w:t>21,610,218</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r>
              <w:rPr>
                <w:b/>
                <w:bCs/>
                <w:sz w:val="14"/>
                <w:szCs w:val="14"/>
              </w:rPr>
              <w:t>21,868,092</w:t>
            </w: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Pr="00B000A9" w:rsidRDefault="00A45131" w:rsidP="00A45131">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b/>
                <w:bCs/>
                <w:sz w:val="14"/>
                <w:szCs w:val="14"/>
              </w:rPr>
            </w:pPr>
          </w:p>
        </w:tc>
      </w:tr>
      <w:tr w:rsidR="00A45131" w:rsidRPr="00247299" w:rsidTr="00AB7A08">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A45131" w:rsidRPr="00AC5C7D" w:rsidRDefault="00A45131" w:rsidP="00A45131">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134,714</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197,544</w:t>
            </w:r>
          </w:p>
        </w:tc>
        <w:tc>
          <w:tcPr>
            <w:tcW w:w="720" w:type="dxa"/>
            <w:tcBorders>
              <w:top w:val="nil"/>
              <w:left w:val="nil"/>
              <w:bottom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255,395</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68,278</w:t>
            </w:r>
          </w:p>
        </w:tc>
        <w:tc>
          <w:tcPr>
            <w:tcW w:w="720" w:type="dxa"/>
            <w:tcBorders>
              <w:top w:val="nil"/>
              <w:left w:val="nil"/>
              <w:bottom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78,752</w:t>
            </w:r>
          </w:p>
        </w:tc>
        <w:tc>
          <w:tcPr>
            <w:tcW w:w="744" w:type="dxa"/>
            <w:tcBorders>
              <w:top w:val="nil"/>
              <w:left w:val="nil"/>
              <w:bottom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107,471</w:t>
            </w:r>
          </w:p>
        </w:tc>
      </w:tr>
      <w:tr w:rsidR="00A45131"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45131" w:rsidRPr="00AC5C7D" w:rsidRDefault="00A45131" w:rsidP="00A45131">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3,953,527</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4,207,123</w:t>
            </w:r>
          </w:p>
        </w:tc>
        <w:tc>
          <w:tcPr>
            <w:tcW w:w="720" w:type="dxa"/>
            <w:tcBorders>
              <w:top w:val="nil"/>
              <w:left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4,143,032</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4,429,945</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4,177,802</w:t>
            </w:r>
          </w:p>
        </w:tc>
        <w:tc>
          <w:tcPr>
            <w:tcW w:w="744" w:type="dxa"/>
            <w:tcBorders>
              <w:top w:val="nil"/>
              <w:left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4,316,407</w:t>
            </w:r>
          </w:p>
        </w:tc>
      </w:tr>
      <w:tr w:rsidR="00A45131"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45131" w:rsidRPr="00B53708" w:rsidRDefault="00A45131" w:rsidP="00A45131">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A45131" w:rsidRDefault="00A45131" w:rsidP="00A45131">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11,403,907</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11,475,383</w:t>
            </w:r>
          </w:p>
        </w:tc>
        <w:tc>
          <w:tcPr>
            <w:tcW w:w="720" w:type="dxa"/>
            <w:tcBorders>
              <w:top w:val="nil"/>
              <w:left w:val="nil"/>
              <w:right w:val="nil"/>
            </w:tcBorders>
            <w:shd w:val="clear" w:color="auto" w:fill="auto"/>
            <w:tcMar>
              <w:left w:w="29" w:type="dxa"/>
              <w:right w:w="29" w:type="dxa"/>
            </w:tcMar>
            <w:vAlign w:val="center"/>
            <w:hideMark/>
          </w:tcPr>
          <w:p w:rsidR="00A45131" w:rsidRDefault="00A45131" w:rsidP="00A45131">
            <w:pPr>
              <w:jc w:val="right"/>
              <w:rPr>
                <w:sz w:val="14"/>
                <w:szCs w:val="14"/>
              </w:rPr>
            </w:pPr>
            <w:r>
              <w:rPr>
                <w:sz w:val="14"/>
                <w:szCs w:val="14"/>
              </w:rPr>
              <w:t>13,480,694</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14,022,001</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sz w:val="14"/>
                <w:szCs w:val="14"/>
              </w:rPr>
            </w:pPr>
            <w:r>
              <w:rPr>
                <w:sz w:val="14"/>
                <w:szCs w:val="14"/>
              </w:rPr>
              <w:t>13,833,155</w:t>
            </w:r>
          </w:p>
        </w:tc>
        <w:tc>
          <w:tcPr>
            <w:tcW w:w="744" w:type="dxa"/>
            <w:tcBorders>
              <w:top w:val="nil"/>
              <w:left w:val="nil"/>
              <w:right w:val="nil"/>
            </w:tcBorders>
            <w:shd w:val="clear" w:color="auto" w:fill="auto"/>
            <w:noWrap/>
            <w:tcMar>
              <w:left w:w="29" w:type="dxa"/>
              <w:right w:w="29" w:type="dxa"/>
            </w:tcMar>
            <w:vAlign w:val="center"/>
          </w:tcPr>
          <w:p w:rsidR="00A45131" w:rsidRDefault="00A45131" w:rsidP="00A45131">
            <w:pPr>
              <w:jc w:val="right"/>
              <w:rPr>
                <w:sz w:val="14"/>
                <w:szCs w:val="14"/>
              </w:rPr>
            </w:pPr>
            <w:r>
              <w:rPr>
                <w:sz w:val="14"/>
                <w:szCs w:val="14"/>
              </w:rPr>
              <w:t>14,009,357</w:t>
            </w:r>
          </w:p>
        </w:tc>
      </w:tr>
      <w:tr w:rsidR="00A45131" w:rsidRPr="00247299" w:rsidTr="00AB7A08">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A45131" w:rsidRPr="0018778B" w:rsidRDefault="00A45131" w:rsidP="00A45131">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A45131" w:rsidRDefault="00A45131" w:rsidP="00A45131">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5,911,296</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5,698,500</w:t>
            </w:r>
          </w:p>
        </w:tc>
        <w:tc>
          <w:tcPr>
            <w:tcW w:w="720" w:type="dxa"/>
            <w:tcBorders>
              <w:top w:val="nil"/>
              <w:left w:val="nil"/>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5,788,422</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5,884,619</w:t>
            </w:r>
          </w:p>
        </w:tc>
        <w:tc>
          <w:tcPr>
            <w:tcW w:w="720" w:type="dxa"/>
            <w:tcBorders>
              <w:top w:val="nil"/>
              <w:left w:val="nil"/>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5,849,609</w:t>
            </w:r>
          </w:p>
        </w:tc>
        <w:tc>
          <w:tcPr>
            <w:tcW w:w="744" w:type="dxa"/>
            <w:tcBorders>
              <w:top w:val="nil"/>
              <w:left w:val="nil"/>
              <w:right w:val="nil"/>
            </w:tcBorders>
            <w:shd w:val="clear" w:color="auto" w:fill="auto"/>
            <w:noWrap/>
            <w:tcMar>
              <w:left w:w="29" w:type="dxa"/>
              <w:right w:w="29" w:type="dxa"/>
            </w:tcMar>
            <w:vAlign w:val="center"/>
          </w:tcPr>
          <w:p w:rsidR="00A45131" w:rsidRDefault="00A45131" w:rsidP="00A45131">
            <w:pPr>
              <w:jc w:val="right"/>
              <w:rPr>
                <w:i/>
                <w:iCs/>
                <w:sz w:val="14"/>
                <w:szCs w:val="14"/>
              </w:rPr>
            </w:pPr>
            <w:r>
              <w:rPr>
                <w:i/>
                <w:iCs/>
                <w:sz w:val="14"/>
                <w:szCs w:val="14"/>
              </w:rPr>
              <w:t>5,810,153</w:t>
            </w:r>
          </w:p>
        </w:tc>
      </w:tr>
      <w:tr w:rsidR="00A45131" w:rsidRPr="00247299" w:rsidTr="00AB7A08">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A45131" w:rsidRPr="0018778B" w:rsidRDefault="00A45131" w:rsidP="00A45131">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A45131" w:rsidRDefault="00A45131" w:rsidP="00A45131">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5,492,611</w:t>
            </w:r>
          </w:p>
        </w:tc>
        <w:tc>
          <w:tcPr>
            <w:tcW w:w="720" w:type="dxa"/>
            <w:tcBorders>
              <w:left w:val="nil"/>
              <w:bottom w:val="single" w:sz="12" w:space="0" w:color="auto"/>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5,776,882</w:t>
            </w:r>
          </w:p>
        </w:tc>
        <w:tc>
          <w:tcPr>
            <w:tcW w:w="720" w:type="dxa"/>
            <w:tcBorders>
              <w:left w:val="nil"/>
              <w:bottom w:val="single" w:sz="12" w:space="0" w:color="auto"/>
              <w:right w:val="nil"/>
            </w:tcBorders>
            <w:shd w:val="clear" w:color="auto" w:fill="auto"/>
            <w:tcMar>
              <w:left w:w="29" w:type="dxa"/>
              <w:right w:w="29" w:type="dxa"/>
            </w:tcMar>
            <w:vAlign w:val="center"/>
            <w:hideMark/>
          </w:tcPr>
          <w:p w:rsidR="00A45131" w:rsidRDefault="00A45131" w:rsidP="00A45131">
            <w:pPr>
              <w:jc w:val="right"/>
              <w:rPr>
                <w:i/>
                <w:iCs/>
                <w:sz w:val="14"/>
                <w:szCs w:val="14"/>
              </w:rPr>
            </w:pPr>
            <w:r>
              <w:rPr>
                <w:i/>
                <w:iCs/>
                <w:sz w:val="14"/>
                <w:szCs w:val="14"/>
              </w:rPr>
              <w:t>7,692,272</w:t>
            </w:r>
          </w:p>
        </w:tc>
        <w:tc>
          <w:tcPr>
            <w:tcW w:w="720" w:type="dxa"/>
            <w:tcBorders>
              <w:left w:val="nil"/>
              <w:bottom w:val="single" w:sz="12" w:space="0" w:color="auto"/>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8,137,383</w:t>
            </w:r>
          </w:p>
        </w:tc>
        <w:tc>
          <w:tcPr>
            <w:tcW w:w="720" w:type="dxa"/>
            <w:tcBorders>
              <w:left w:val="nil"/>
              <w:bottom w:val="single" w:sz="12" w:space="0" w:color="auto"/>
              <w:right w:val="nil"/>
            </w:tcBorders>
            <w:shd w:val="clear" w:color="auto" w:fill="auto"/>
            <w:tcMar>
              <w:left w:w="29" w:type="dxa"/>
              <w:right w:w="29" w:type="dxa"/>
            </w:tcMar>
            <w:vAlign w:val="center"/>
          </w:tcPr>
          <w:p w:rsidR="00A45131" w:rsidRDefault="00A45131" w:rsidP="00A45131">
            <w:pPr>
              <w:jc w:val="right"/>
              <w:rPr>
                <w:i/>
                <w:iCs/>
                <w:sz w:val="14"/>
                <w:szCs w:val="14"/>
              </w:rPr>
            </w:pPr>
            <w:r>
              <w:rPr>
                <w:i/>
                <w:iCs/>
                <w:sz w:val="14"/>
                <w:szCs w:val="14"/>
              </w:rPr>
              <w:t>7,983,546</w:t>
            </w:r>
          </w:p>
        </w:tc>
        <w:tc>
          <w:tcPr>
            <w:tcW w:w="744" w:type="dxa"/>
            <w:tcBorders>
              <w:left w:val="nil"/>
              <w:bottom w:val="single" w:sz="12" w:space="0" w:color="auto"/>
              <w:right w:val="nil"/>
            </w:tcBorders>
            <w:shd w:val="clear" w:color="auto" w:fill="auto"/>
            <w:noWrap/>
            <w:tcMar>
              <w:left w:w="29" w:type="dxa"/>
              <w:right w:w="29" w:type="dxa"/>
            </w:tcMar>
            <w:vAlign w:val="center"/>
          </w:tcPr>
          <w:p w:rsidR="00A45131" w:rsidRDefault="00A45131" w:rsidP="00A45131">
            <w:pPr>
              <w:jc w:val="right"/>
              <w:rPr>
                <w:i/>
                <w:iCs/>
                <w:sz w:val="14"/>
                <w:szCs w:val="14"/>
              </w:rPr>
            </w:pPr>
            <w:r>
              <w:rPr>
                <w:i/>
                <w:iCs/>
                <w:sz w:val="14"/>
                <w:szCs w:val="14"/>
              </w:rPr>
              <w:t>8,199,204</w:t>
            </w:r>
          </w:p>
        </w:tc>
      </w:tr>
      <w:tr w:rsidR="00A45131"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A45131" w:rsidRPr="00247299" w:rsidRDefault="00A45131" w:rsidP="00A45131">
            <w:pPr>
              <w:jc w:val="right"/>
              <w:rPr>
                <w:color w:val="auto"/>
                <w:sz w:val="14"/>
                <w:szCs w:val="14"/>
              </w:rPr>
            </w:pPr>
            <w:r>
              <w:rPr>
                <w:sz w:val="14"/>
                <w:szCs w:val="14"/>
              </w:rPr>
              <w:t>Source: Statistics &amp; Data Warehouse Department SBP</w:t>
            </w:r>
            <w:r w:rsidRPr="00247299">
              <w:rPr>
                <w:color w:val="auto"/>
                <w:sz w:val="14"/>
                <w:szCs w:val="14"/>
              </w:rPr>
              <w:t> </w:t>
            </w:r>
          </w:p>
          <w:p w:rsidR="00A45131" w:rsidRPr="00247299" w:rsidRDefault="00A45131" w:rsidP="00A45131">
            <w:pPr>
              <w:jc w:val="right"/>
              <w:rPr>
                <w:rFonts w:ascii="Calibri" w:hAnsi="Calibri"/>
                <w:sz w:val="22"/>
                <w:szCs w:val="22"/>
              </w:rPr>
            </w:pPr>
            <w:r w:rsidRPr="00247299">
              <w:rPr>
                <w:i/>
                <w:iCs/>
                <w:color w:val="auto"/>
                <w:sz w:val="14"/>
                <w:szCs w:val="14"/>
              </w:rPr>
              <w:t> </w:t>
            </w:r>
          </w:p>
        </w:tc>
      </w:tr>
      <w:tr w:rsidR="00A45131" w:rsidRPr="00916320" w:rsidTr="00916320">
        <w:trPr>
          <w:trHeight w:val="1080"/>
          <w:jc w:val="center"/>
        </w:trPr>
        <w:tc>
          <w:tcPr>
            <w:tcW w:w="10103" w:type="dxa"/>
            <w:gridSpan w:val="10"/>
            <w:tcBorders>
              <w:top w:val="nil"/>
              <w:left w:val="nil"/>
              <w:bottom w:val="nil"/>
              <w:right w:val="nil"/>
            </w:tcBorders>
            <w:shd w:val="clear" w:color="auto" w:fill="auto"/>
            <w:hideMark/>
          </w:tcPr>
          <w:p w:rsidR="00A45131" w:rsidRPr="00916320" w:rsidRDefault="00A45131" w:rsidP="00A45131">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A45131" w:rsidRPr="00916320" w:rsidRDefault="00A45131" w:rsidP="00A45131">
            <w:pPr>
              <w:ind w:left="162" w:hanging="180"/>
              <w:jc w:val="left"/>
              <w:rPr>
                <w:color w:val="auto"/>
                <w:sz w:val="14"/>
                <w:szCs w:val="14"/>
              </w:rPr>
            </w:pPr>
            <w:r w:rsidRPr="00916320">
              <w:rPr>
                <w:color w:val="auto"/>
                <w:sz w:val="14"/>
                <w:szCs w:val="14"/>
              </w:rPr>
              <w:t>Note:-</w:t>
            </w:r>
          </w:p>
          <w:p w:rsidR="00A45131" w:rsidRPr="00916320" w:rsidRDefault="00A45131" w:rsidP="00A45131">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A45131" w:rsidRDefault="00A45131" w:rsidP="00A45131">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C978EF">
              <w:rPr>
                <w:color w:val="auto"/>
                <w:sz w:val="14"/>
                <w:szCs w:val="14"/>
              </w:rPr>
              <w:t>has been enhanced</w:t>
            </w:r>
            <w:proofErr w:type="gramEnd"/>
            <w:r w:rsidRPr="00C978EF">
              <w:rPr>
                <w:color w:val="auto"/>
                <w:sz w:val="14"/>
                <w:szCs w:val="14"/>
              </w:rPr>
              <w:t xml:space="preserve"> since July 2019. Detail of changes are available at:</w:t>
            </w:r>
            <w:r>
              <w:t xml:space="preserve"> </w:t>
            </w:r>
            <w:hyperlink r:id="rId19" w:history="1">
              <w:r w:rsidRPr="00846D97">
                <w:rPr>
                  <w:rStyle w:val="Hyperlink"/>
                  <w:sz w:val="14"/>
                  <w:szCs w:val="14"/>
                </w:rPr>
                <w:t>http://www.sbp.org.pk/departments/stats/Expalanatory-Note.pdf</w:t>
              </w:r>
            </w:hyperlink>
          </w:p>
          <w:p w:rsidR="00A45131" w:rsidRPr="00916320" w:rsidRDefault="00A45131" w:rsidP="00A45131">
            <w:pPr>
              <w:ind w:left="162" w:hanging="180"/>
              <w:jc w:val="left"/>
              <w:rPr>
                <w:color w:val="auto"/>
                <w:sz w:val="12"/>
                <w:szCs w:val="12"/>
              </w:rPr>
            </w:pPr>
            <w:r w:rsidRPr="00916320">
              <w:rPr>
                <w:color w:val="auto"/>
                <w:sz w:val="14"/>
                <w:szCs w:val="14"/>
              </w:rPr>
              <w:t xml:space="preserve">* Note: Islamic Financings, Advances (against Murabaha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w:t>
            </w:r>
            <w:proofErr w:type="gramStart"/>
            <w:r w:rsidRPr="00916320">
              <w:rPr>
                <w:color w:val="auto"/>
                <w:sz w:val="14"/>
                <w:szCs w:val="14"/>
              </w:rPr>
              <w:t>has been reclassified</w:t>
            </w:r>
            <w:proofErr w:type="gramEnd"/>
            <w:r w:rsidRPr="00916320">
              <w:rPr>
                <w:color w:val="auto"/>
                <w:sz w:val="14"/>
                <w:szCs w:val="14"/>
              </w:rPr>
              <w:t xml:space="preserve">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123399">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00065A">
            <w:pPr>
              <w:rPr>
                <w:b/>
                <w:bCs/>
                <w:color w:val="auto"/>
                <w:szCs w:val="16"/>
              </w:rPr>
            </w:pPr>
            <w:r w:rsidRPr="006619BF">
              <w:rPr>
                <w:b/>
                <w:bCs/>
                <w:color w:val="auto"/>
                <w:szCs w:val="16"/>
              </w:rPr>
              <w:t>30-Jun-1</w:t>
            </w:r>
            <w:r w:rsidR="0000065A">
              <w:rPr>
                <w:b/>
                <w:bCs/>
                <w:color w:val="auto"/>
                <w:szCs w:val="16"/>
              </w:rPr>
              <w:t>9</w:t>
            </w:r>
          </w:p>
        </w:tc>
        <w:tc>
          <w:tcPr>
            <w:tcW w:w="576"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FF5A52">
            <w:pPr>
              <w:jc w:val="right"/>
              <w:rPr>
                <w:b/>
                <w:bCs/>
                <w:color w:val="auto"/>
                <w:szCs w:val="16"/>
              </w:rPr>
            </w:pPr>
            <w:r w:rsidRPr="006619BF">
              <w:rPr>
                <w:b/>
                <w:bCs/>
                <w:color w:val="auto"/>
                <w:szCs w:val="16"/>
              </w:rPr>
              <w:t>30-Jun-</w:t>
            </w:r>
            <w:r w:rsidR="0000065A">
              <w:rPr>
                <w:b/>
                <w:bCs/>
                <w:color w:val="auto"/>
                <w:szCs w:val="16"/>
              </w:rPr>
              <w:t>20</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60F16">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w:t>
            </w:r>
            <w:r w:rsidR="007E0ECE">
              <w:rPr>
                <w:b/>
                <w:bCs/>
                <w:color w:val="auto"/>
                <w:szCs w:val="16"/>
              </w:rPr>
              <w:t>9</w:t>
            </w:r>
          </w:p>
          <w:p w:rsidR="00E07EFE" w:rsidRPr="006619BF" w:rsidRDefault="00E07EFE" w:rsidP="009D05AF">
            <w:pPr>
              <w:rPr>
                <w:b/>
                <w:bCs/>
                <w:color w:val="auto"/>
                <w:szCs w:val="16"/>
              </w:rPr>
            </w:pPr>
            <w:r w:rsidRPr="006619BF">
              <w:rPr>
                <w:b/>
                <w:bCs/>
                <w:color w:val="auto"/>
                <w:szCs w:val="16"/>
              </w:rPr>
              <w:t>to</w:t>
            </w:r>
          </w:p>
          <w:p w:rsidR="00E07EFE" w:rsidRPr="006619BF" w:rsidRDefault="00C0541C" w:rsidP="001E061F">
            <w:pPr>
              <w:rPr>
                <w:b/>
                <w:bCs/>
                <w:color w:val="auto"/>
                <w:szCs w:val="16"/>
              </w:rPr>
            </w:pPr>
            <w:r>
              <w:rPr>
                <w:b/>
                <w:bCs/>
                <w:color w:val="auto"/>
                <w:szCs w:val="16"/>
              </w:rPr>
              <w:t>28</w:t>
            </w:r>
            <w:r w:rsidR="00E233D0">
              <w:rPr>
                <w:b/>
                <w:bCs/>
                <w:color w:val="auto"/>
                <w:szCs w:val="16"/>
                <w:vertAlign w:val="superscript"/>
              </w:rPr>
              <w:t>th</w:t>
            </w:r>
            <w:r>
              <w:rPr>
                <w:b/>
                <w:bCs/>
                <w:color w:val="auto"/>
                <w:szCs w:val="16"/>
              </w:rPr>
              <w:t xml:space="preserve"> Feb</w:t>
            </w:r>
            <w:r w:rsidR="00E07EFE" w:rsidRPr="006619BF">
              <w:rPr>
                <w:b/>
                <w:bCs/>
                <w:color w:val="auto"/>
                <w:szCs w:val="16"/>
              </w:rPr>
              <w:t xml:space="preserve"> </w:t>
            </w:r>
            <w:r w:rsidR="001E061F">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FD0225">
            <w:pPr>
              <w:rPr>
                <w:b/>
                <w:bCs/>
                <w:color w:val="auto"/>
                <w:szCs w:val="16"/>
              </w:rPr>
            </w:pPr>
            <w:r w:rsidRPr="006619BF">
              <w:rPr>
                <w:b/>
                <w:bCs/>
                <w:color w:val="auto"/>
                <w:szCs w:val="16"/>
              </w:rPr>
              <w:t>1</w:t>
            </w:r>
            <w:r w:rsidRPr="006619BF">
              <w:rPr>
                <w:b/>
                <w:bCs/>
                <w:color w:val="auto"/>
                <w:szCs w:val="16"/>
                <w:vertAlign w:val="superscript"/>
              </w:rPr>
              <w:t>st</w:t>
            </w:r>
            <w:r w:rsidR="007E0ECE">
              <w:rPr>
                <w:b/>
                <w:bCs/>
                <w:color w:val="auto"/>
                <w:szCs w:val="16"/>
              </w:rPr>
              <w:t xml:space="preserve"> Jul 20</w:t>
            </w:r>
          </w:p>
          <w:p w:rsidR="00E07EFE" w:rsidRPr="006619BF" w:rsidRDefault="00E07EFE" w:rsidP="009D05AF">
            <w:pPr>
              <w:rPr>
                <w:b/>
                <w:bCs/>
                <w:color w:val="auto"/>
                <w:szCs w:val="16"/>
              </w:rPr>
            </w:pPr>
            <w:r w:rsidRPr="006619BF">
              <w:rPr>
                <w:b/>
                <w:bCs/>
                <w:color w:val="auto"/>
                <w:szCs w:val="16"/>
              </w:rPr>
              <w:t>to</w:t>
            </w:r>
          </w:p>
          <w:p w:rsidR="00E07EFE" w:rsidRPr="00C0541C" w:rsidRDefault="00C0541C" w:rsidP="00123399">
            <w:pPr>
              <w:rPr>
                <w:b/>
                <w:bCs/>
                <w:color w:val="auto"/>
                <w:szCs w:val="16"/>
                <w:vertAlign w:val="superscript"/>
              </w:rPr>
            </w:pPr>
            <w:r>
              <w:rPr>
                <w:b/>
                <w:bCs/>
                <w:color w:val="auto"/>
                <w:szCs w:val="16"/>
              </w:rPr>
              <w:t>26</w:t>
            </w:r>
            <w:r w:rsidR="00E233D0">
              <w:rPr>
                <w:b/>
                <w:bCs/>
                <w:color w:val="auto"/>
                <w:szCs w:val="16"/>
                <w:vertAlign w:val="superscript"/>
              </w:rPr>
              <w:t>th</w:t>
            </w:r>
            <w:r>
              <w:rPr>
                <w:b/>
                <w:bCs/>
                <w:color w:val="auto"/>
                <w:szCs w:val="16"/>
              </w:rPr>
              <w:t xml:space="preserve"> Feb</w:t>
            </w:r>
            <w:r w:rsidR="0000065A" w:rsidRPr="006619BF">
              <w:rPr>
                <w:b/>
                <w:bCs/>
                <w:color w:val="auto"/>
                <w:szCs w:val="16"/>
              </w:rPr>
              <w:t xml:space="preserve"> </w:t>
            </w:r>
            <w:r w:rsidR="00A034CD">
              <w:rPr>
                <w:b/>
                <w:bCs/>
                <w:color w:val="auto"/>
                <w:szCs w:val="16"/>
              </w:rPr>
              <w:t>2</w:t>
            </w:r>
            <w:r w:rsidR="001E061F">
              <w:rPr>
                <w:b/>
                <w:bCs/>
                <w:color w:val="auto"/>
                <w:szCs w:val="16"/>
              </w:rPr>
              <w:t>1</w:t>
            </w:r>
            <w:r>
              <w:rPr>
                <w:b/>
                <w:bCs/>
                <w:color w:val="auto"/>
                <w:szCs w:val="16"/>
                <w:vertAlign w:val="superscript"/>
              </w:rPr>
              <w:t xml:space="preserve"> P</w:t>
            </w:r>
          </w:p>
        </w:tc>
      </w:tr>
      <w:tr w:rsidR="00E07EFE" w:rsidRPr="00D5469A" w:rsidTr="00123399">
        <w:trPr>
          <w:trHeight w:val="204"/>
          <w:jc w:val="center"/>
        </w:trPr>
        <w:tc>
          <w:tcPr>
            <w:tcW w:w="2626"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76"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12,586,952</w:t>
            </w:r>
          </w:p>
        </w:tc>
        <w:tc>
          <w:tcPr>
            <w:tcW w:w="576"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14,972,588</w:t>
            </w:r>
          </w:p>
        </w:tc>
        <w:tc>
          <w:tcPr>
            <w:tcW w:w="621"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 xml:space="preserve">         647,078 </w:t>
            </w:r>
          </w:p>
        </w:tc>
        <w:tc>
          <w:tcPr>
            <w:tcW w:w="602"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 xml:space="preserve">        821,539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5,753,677</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8,222,465</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1,057,177 </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1,088,622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6,982,021</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9,594,430</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1,041,272 </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1,102,908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0541C" w:rsidRDefault="00C0541C" w:rsidP="00C0541C">
            <w:pPr>
              <w:jc w:val="right"/>
              <w:rPr>
                <w:sz w:val="20"/>
              </w:rPr>
            </w:pPr>
          </w:p>
        </w:tc>
        <w:tc>
          <w:tcPr>
            <w:tcW w:w="576" w:type="pct"/>
            <w:tcBorders>
              <w:top w:val="nil"/>
              <w:left w:val="nil"/>
              <w:bottom w:val="nil"/>
              <w:right w:val="nil"/>
            </w:tcBorders>
            <w:shd w:val="clear" w:color="auto" w:fill="auto"/>
            <w:vAlign w:val="center"/>
            <w:hideMark/>
          </w:tcPr>
          <w:p w:rsidR="00C0541C" w:rsidRDefault="00C0541C" w:rsidP="00C0541C">
            <w:pPr>
              <w:jc w:val="right"/>
              <w:rPr>
                <w:sz w:val="20"/>
              </w:rPr>
            </w:pP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p>
        </w:tc>
        <w:tc>
          <w:tcPr>
            <w:tcW w:w="602" w:type="pct"/>
            <w:tcBorders>
              <w:top w:val="nil"/>
              <w:left w:val="nil"/>
              <w:bottom w:val="nil"/>
              <w:right w:val="nil"/>
            </w:tcBorders>
            <w:shd w:val="clear" w:color="auto" w:fill="auto"/>
            <w:vAlign w:val="center"/>
            <w:hideMark/>
          </w:tcPr>
          <w:p w:rsidR="00C0541C" w:rsidRDefault="00C0541C" w:rsidP="00C0541C">
            <w:pPr>
              <w:rPr>
                <w:sz w:val="20"/>
              </w:rPr>
            </w:pP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0A675C" w:rsidRDefault="00C0541C" w:rsidP="00C0541C">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1,228,344</w:t>
            </w:r>
          </w:p>
        </w:tc>
        <w:tc>
          <w:tcPr>
            <w:tcW w:w="576"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1,371,965</w:t>
            </w:r>
          </w:p>
        </w:tc>
        <w:tc>
          <w:tcPr>
            <w:tcW w:w="621"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(15,905)</w:t>
            </w:r>
          </w:p>
        </w:tc>
        <w:tc>
          <w:tcPr>
            <w:tcW w:w="602"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14,286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6,833,275</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6,750,123</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(410,100)</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(267,084)</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7,762,812</w:t>
            </w:r>
          </w:p>
        </w:tc>
        <w:tc>
          <w:tcPr>
            <w:tcW w:w="576"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7,276,174</w:t>
            </w:r>
          </w:p>
        </w:tc>
        <w:tc>
          <w:tcPr>
            <w:tcW w:w="621"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 xml:space="preserve">         (90,357)</w:t>
            </w:r>
          </w:p>
        </w:tc>
        <w:tc>
          <w:tcPr>
            <w:tcW w:w="602"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 xml:space="preserve">       (260,794)</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28,200</w:t>
            </w:r>
          </w:p>
        </w:tc>
        <w:tc>
          <w:tcPr>
            <w:tcW w:w="576"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30,157</w:t>
            </w:r>
          </w:p>
        </w:tc>
        <w:tc>
          <w:tcPr>
            <w:tcW w:w="621"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 xml:space="preserve">              (435)</w:t>
            </w:r>
          </w:p>
        </w:tc>
        <w:tc>
          <w:tcPr>
            <w:tcW w:w="602" w:type="pct"/>
            <w:tcBorders>
              <w:top w:val="nil"/>
              <w:left w:val="nil"/>
              <w:bottom w:val="nil"/>
              <w:right w:val="nil"/>
            </w:tcBorders>
            <w:shd w:val="clear" w:color="auto" w:fill="auto"/>
            <w:noWrap/>
            <w:vAlign w:val="center"/>
            <w:hideMark/>
          </w:tcPr>
          <w:p w:rsidR="00C0541C" w:rsidRDefault="00C0541C" w:rsidP="00C0541C">
            <w:pPr>
              <w:jc w:val="right"/>
              <w:rPr>
                <w:szCs w:val="16"/>
              </w:rPr>
            </w:pPr>
            <w:r>
              <w:rPr>
                <w:szCs w:val="16"/>
              </w:rPr>
              <w:t xml:space="preserve">           (8,734)</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0541C" w:rsidRDefault="00C0541C" w:rsidP="00C0541C">
            <w:pPr>
              <w:jc w:val="right"/>
              <w:rPr>
                <w:sz w:val="20"/>
              </w:rPr>
            </w:pPr>
          </w:p>
        </w:tc>
        <w:tc>
          <w:tcPr>
            <w:tcW w:w="576" w:type="pct"/>
            <w:tcBorders>
              <w:top w:val="nil"/>
              <w:left w:val="nil"/>
              <w:bottom w:val="nil"/>
              <w:right w:val="nil"/>
            </w:tcBorders>
            <w:shd w:val="clear" w:color="auto" w:fill="auto"/>
            <w:vAlign w:val="center"/>
            <w:hideMark/>
          </w:tcPr>
          <w:p w:rsidR="00C0541C" w:rsidRDefault="00C0541C" w:rsidP="00C0541C">
            <w:pPr>
              <w:jc w:val="right"/>
              <w:rPr>
                <w:sz w:val="20"/>
              </w:rPr>
            </w:pP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p>
        </w:tc>
        <w:tc>
          <w:tcPr>
            <w:tcW w:w="602" w:type="pct"/>
            <w:tcBorders>
              <w:top w:val="nil"/>
              <w:left w:val="nil"/>
              <w:bottom w:val="nil"/>
              <w:right w:val="nil"/>
            </w:tcBorders>
            <w:shd w:val="clear" w:color="auto" w:fill="auto"/>
            <w:vAlign w:val="center"/>
            <w:hideMark/>
          </w:tcPr>
          <w:p w:rsidR="00C0541C" w:rsidRDefault="00C0541C" w:rsidP="00C0541C">
            <w:pPr>
              <w:rPr>
                <w:sz w:val="20"/>
              </w:rPr>
            </w:pP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0A675C" w:rsidRDefault="00C0541C" w:rsidP="00C0541C">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967,305</w:t>
            </w:r>
          </w:p>
        </w:tc>
        <w:tc>
          <w:tcPr>
            <w:tcW w:w="576"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565,997</w:t>
            </w:r>
          </w:p>
        </w:tc>
        <w:tc>
          <w:tcPr>
            <w:tcW w:w="621"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319,528 </w:t>
            </w:r>
          </w:p>
        </w:tc>
        <w:tc>
          <w:tcPr>
            <w:tcW w:w="602"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(2,832)</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0A675C" w:rsidRDefault="00C0541C" w:rsidP="00C0541C">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(9,569)</w:t>
            </w:r>
          </w:p>
        </w:tc>
        <w:tc>
          <w:tcPr>
            <w:tcW w:w="576"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(9,789)</w:t>
            </w:r>
          </w:p>
        </w:tc>
        <w:tc>
          <w:tcPr>
            <w:tcW w:w="621"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(220)</w:t>
            </w:r>
          </w:p>
        </w:tc>
        <w:tc>
          <w:tcPr>
            <w:tcW w:w="602"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387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(990,484)</w:t>
            </w:r>
          </w:p>
        </w:tc>
        <w:tc>
          <w:tcPr>
            <w:tcW w:w="576"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(1,224,280)</w:t>
            </w:r>
          </w:p>
        </w:tc>
        <w:tc>
          <w:tcPr>
            <w:tcW w:w="621"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 xml:space="preserve">       (456,794)</w:t>
            </w:r>
          </w:p>
        </w:tc>
        <w:tc>
          <w:tcPr>
            <w:tcW w:w="602" w:type="pct"/>
            <w:tcBorders>
              <w:top w:val="nil"/>
              <w:left w:val="nil"/>
              <w:bottom w:val="nil"/>
              <w:right w:val="nil"/>
            </w:tcBorders>
            <w:shd w:val="clear" w:color="auto" w:fill="auto"/>
            <w:vAlign w:val="center"/>
            <w:hideMark/>
          </w:tcPr>
          <w:p w:rsidR="00C0541C" w:rsidRDefault="00C0541C" w:rsidP="00C0541C">
            <w:pPr>
              <w:jc w:val="right"/>
              <w:rPr>
                <w:b/>
                <w:bCs/>
                <w:szCs w:val="16"/>
              </w:rPr>
            </w:pPr>
            <w:r>
              <w:rPr>
                <w:b/>
                <w:bCs/>
                <w:szCs w:val="16"/>
              </w:rPr>
              <w:t xml:space="preserve">       (383,746)</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(849,079)</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(1,012,953)</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(71,069)</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(29,657)</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1,024</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   </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C0541C" w:rsidRDefault="00C0541C" w:rsidP="00C0541C">
            <w:pPr>
              <w:jc w:val="right"/>
              <w:rPr>
                <w:sz w:val="20"/>
              </w:rPr>
            </w:pPr>
          </w:p>
        </w:tc>
        <w:tc>
          <w:tcPr>
            <w:tcW w:w="576" w:type="pct"/>
            <w:tcBorders>
              <w:top w:val="nil"/>
              <w:left w:val="nil"/>
              <w:bottom w:val="nil"/>
              <w:right w:val="nil"/>
            </w:tcBorders>
            <w:shd w:val="clear" w:color="auto" w:fill="auto"/>
            <w:vAlign w:val="center"/>
            <w:hideMark/>
          </w:tcPr>
          <w:p w:rsidR="00C0541C" w:rsidRDefault="00C0541C" w:rsidP="00C0541C">
            <w:pPr>
              <w:jc w:val="right"/>
              <w:rPr>
                <w:sz w:val="20"/>
              </w:rPr>
            </w:pP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p>
        </w:tc>
        <w:tc>
          <w:tcPr>
            <w:tcW w:w="602" w:type="pct"/>
            <w:tcBorders>
              <w:top w:val="nil"/>
              <w:left w:val="nil"/>
              <w:bottom w:val="nil"/>
              <w:right w:val="nil"/>
            </w:tcBorders>
            <w:shd w:val="clear" w:color="auto" w:fill="auto"/>
            <w:vAlign w:val="center"/>
            <w:hideMark/>
          </w:tcPr>
          <w:p w:rsidR="00C0541C" w:rsidRDefault="00C0541C" w:rsidP="00C0541C">
            <w:pPr>
              <w:rPr>
                <w:sz w:val="20"/>
              </w:rPr>
            </w:pP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0A675C" w:rsidRDefault="00C0541C" w:rsidP="00C0541C">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850,103</w:t>
            </w:r>
          </w:p>
        </w:tc>
        <w:tc>
          <w:tcPr>
            <w:tcW w:w="576"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1,013,977</w:t>
            </w:r>
          </w:p>
        </w:tc>
        <w:tc>
          <w:tcPr>
            <w:tcW w:w="621"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71,069 </w:t>
            </w:r>
          </w:p>
        </w:tc>
        <w:tc>
          <w:tcPr>
            <w:tcW w:w="602" w:type="pct"/>
            <w:tcBorders>
              <w:top w:val="nil"/>
              <w:left w:val="nil"/>
              <w:bottom w:val="nil"/>
              <w:right w:val="nil"/>
            </w:tcBorders>
            <w:shd w:val="clear" w:color="auto" w:fill="auto"/>
            <w:vAlign w:val="center"/>
            <w:hideMark/>
          </w:tcPr>
          <w:p w:rsidR="00C0541C" w:rsidRDefault="00C0541C" w:rsidP="00C0541C">
            <w:pPr>
              <w:jc w:val="right"/>
              <w:rPr>
                <w:i/>
                <w:iCs/>
                <w:szCs w:val="16"/>
              </w:rPr>
            </w:pPr>
            <w:r>
              <w:rPr>
                <w:i/>
                <w:iCs/>
                <w:szCs w:val="16"/>
              </w:rPr>
              <w:t xml:space="preserve">          29,657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(141,405)</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(211,327)</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(385,725)</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(354,089)</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C0541C" w:rsidRDefault="00C0541C" w:rsidP="00C0541C">
            <w:pPr>
              <w:jc w:val="right"/>
              <w:rPr>
                <w:sz w:val="20"/>
              </w:rPr>
            </w:pPr>
          </w:p>
        </w:tc>
        <w:tc>
          <w:tcPr>
            <w:tcW w:w="576" w:type="pct"/>
            <w:tcBorders>
              <w:top w:val="nil"/>
              <w:left w:val="nil"/>
              <w:bottom w:val="nil"/>
              <w:right w:val="nil"/>
            </w:tcBorders>
            <w:shd w:val="clear" w:color="auto" w:fill="auto"/>
            <w:noWrap/>
            <w:vAlign w:val="center"/>
            <w:hideMark/>
          </w:tcPr>
          <w:p w:rsidR="00C0541C" w:rsidRDefault="00C0541C" w:rsidP="00C0541C">
            <w:pPr>
              <w:jc w:val="right"/>
              <w:rPr>
                <w:sz w:val="20"/>
              </w:rPr>
            </w:pPr>
          </w:p>
        </w:tc>
        <w:tc>
          <w:tcPr>
            <w:tcW w:w="621" w:type="pct"/>
            <w:tcBorders>
              <w:top w:val="nil"/>
              <w:left w:val="nil"/>
              <w:bottom w:val="nil"/>
              <w:right w:val="nil"/>
            </w:tcBorders>
            <w:shd w:val="clear" w:color="auto" w:fill="auto"/>
            <w:noWrap/>
            <w:vAlign w:val="center"/>
            <w:hideMark/>
          </w:tcPr>
          <w:p w:rsidR="00C0541C" w:rsidRDefault="00C0541C" w:rsidP="00C0541C">
            <w:pPr>
              <w:jc w:val="right"/>
              <w:rPr>
                <w:szCs w:val="16"/>
              </w:rPr>
            </w:pPr>
          </w:p>
        </w:tc>
        <w:tc>
          <w:tcPr>
            <w:tcW w:w="602" w:type="pct"/>
            <w:tcBorders>
              <w:top w:val="nil"/>
              <w:left w:val="nil"/>
              <w:bottom w:val="nil"/>
              <w:right w:val="nil"/>
            </w:tcBorders>
            <w:shd w:val="clear" w:color="auto" w:fill="auto"/>
            <w:noWrap/>
            <w:vAlign w:val="center"/>
            <w:hideMark/>
          </w:tcPr>
          <w:p w:rsidR="00C0541C" w:rsidRDefault="00C0541C" w:rsidP="00C0541C">
            <w:pPr>
              <w:rPr>
                <w:sz w:val="20"/>
              </w:rPr>
            </w:pP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w:t>
            </w:r>
          </w:p>
        </w:tc>
        <w:tc>
          <w:tcPr>
            <w:tcW w:w="576"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   </w:t>
            </w:r>
          </w:p>
        </w:tc>
        <w:tc>
          <w:tcPr>
            <w:tcW w:w="602" w:type="pct"/>
            <w:tcBorders>
              <w:top w:val="nil"/>
              <w:left w:val="nil"/>
              <w:bottom w:val="nil"/>
              <w:right w:val="nil"/>
            </w:tcBorders>
            <w:shd w:val="clear" w:color="auto" w:fill="auto"/>
            <w:vAlign w:val="center"/>
            <w:hideMark/>
          </w:tcPr>
          <w:p w:rsidR="00C0541C" w:rsidRDefault="00C0541C" w:rsidP="00C0541C">
            <w:pPr>
              <w:jc w:val="right"/>
              <w:rPr>
                <w:szCs w:val="16"/>
              </w:rPr>
            </w:pPr>
            <w:r>
              <w:rPr>
                <w:szCs w:val="16"/>
              </w:rPr>
              <w:t xml:space="preserve">                  -   </w:t>
            </w:r>
          </w:p>
        </w:tc>
      </w:tr>
      <w:tr w:rsidR="00C0541C" w:rsidRPr="00D5469A" w:rsidTr="00123399">
        <w:trPr>
          <w:trHeight w:val="288"/>
          <w:jc w:val="center"/>
        </w:trPr>
        <w:tc>
          <w:tcPr>
            <w:tcW w:w="2626" w:type="pct"/>
            <w:tcBorders>
              <w:top w:val="nil"/>
              <w:left w:val="nil"/>
              <w:bottom w:val="nil"/>
              <w:right w:val="nil"/>
            </w:tcBorders>
            <w:shd w:val="clear" w:color="auto" w:fill="auto"/>
            <w:vAlign w:val="center"/>
            <w:hideMark/>
          </w:tcPr>
          <w:p w:rsidR="00C0541C" w:rsidRPr="00D5469A" w:rsidRDefault="00C0541C" w:rsidP="00C0541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C0541C" w:rsidRDefault="00C0541C" w:rsidP="00C0541C">
            <w:pPr>
              <w:jc w:val="right"/>
              <w:rPr>
                <w:sz w:val="20"/>
              </w:rPr>
            </w:pPr>
          </w:p>
        </w:tc>
        <w:tc>
          <w:tcPr>
            <w:tcW w:w="576" w:type="pct"/>
            <w:tcBorders>
              <w:top w:val="nil"/>
              <w:left w:val="nil"/>
              <w:bottom w:val="nil"/>
              <w:right w:val="nil"/>
            </w:tcBorders>
            <w:shd w:val="clear" w:color="auto" w:fill="auto"/>
            <w:noWrap/>
            <w:vAlign w:val="center"/>
            <w:hideMark/>
          </w:tcPr>
          <w:p w:rsidR="00C0541C" w:rsidRDefault="00C0541C" w:rsidP="00C0541C">
            <w:pPr>
              <w:jc w:val="right"/>
              <w:rPr>
                <w:sz w:val="20"/>
              </w:rPr>
            </w:pPr>
          </w:p>
        </w:tc>
        <w:tc>
          <w:tcPr>
            <w:tcW w:w="621" w:type="pct"/>
            <w:tcBorders>
              <w:top w:val="nil"/>
              <w:left w:val="nil"/>
              <w:bottom w:val="nil"/>
              <w:right w:val="nil"/>
            </w:tcBorders>
            <w:shd w:val="clear" w:color="auto" w:fill="auto"/>
            <w:noWrap/>
            <w:vAlign w:val="center"/>
            <w:hideMark/>
          </w:tcPr>
          <w:p w:rsidR="00C0541C" w:rsidRDefault="00C0541C" w:rsidP="00C0541C">
            <w:pPr>
              <w:jc w:val="right"/>
              <w:rPr>
                <w:szCs w:val="16"/>
              </w:rPr>
            </w:pPr>
          </w:p>
        </w:tc>
        <w:tc>
          <w:tcPr>
            <w:tcW w:w="602" w:type="pct"/>
            <w:tcBorders>
              <w:top w:val="nil"/>
              <w:left w:val="nil"/>
              <w:bottom w:val="nil"/>
              <w:right w:val="nil"/>
            </w:tcBorders>
            <w:shd w:val="clear" w:color="auto" w:fill="auto"/>
            <w:noWrap/>
            <w:vAlign w:val="center"/>
            <w:hideMark/>
          </w:tcPr>
          <w:p w:rsidR="00C0541C" w:rsidRDefault="00C0541C" w:rsidP="00C0541C">
            <w:pPr>
              <w:rPr>
                <w:sz w:val="20"/>
              </w:rPr>
            </w:pPr>
          </w:p>
        </w:tc>
      </w:tr>
      <w:tr w:rsidR="00C0541C" w:rsidRPr="00D5469A" w:rsidTr="00123399">
        <w:trPr>
          <w:trHeight w:val="288"/>
          <w:jc w:val="center"/>
        </w:trPr>
        <w:tc>
          <w:tcPr>
            <w:tcW w:w="2626" w:type="pct"/>
            <w:tcBorders>
              <w:top w:val="nil"/>
              <w:left w:val="nil"/>
              <w:bottom w:val="single" w:sz="12" w:space="0" w:color="auto"/>
              <w:right w:val="nil"/>
            </w:tcBorders>
            <w:shd w:val="clear" w:color="auto" w:fill="auto"/>
            <w:vAlign w:val="center"/>
            <w:hideMark/>
          </w:tcPr>
          <w:p w:rsidR="00C0541C" w:rsidRPr="000A675C" w:rsidRDefault="00C0541C" w:rsidP="00C0541C">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C0541C" w:rsidRDefault="00C0541C" w:rsidP="00C0541C">
            <w:pPr>
              <w:jc w:val="right"/>
              <w:rPr>
                <w:i/>
                <w:iCs/>
                <w:szCs w:val="16"/>
              </w:rPr>
            </w:pPr>
            <w:r>
              <w:rPr>
                <w:i/>
                <w:iCs/>
                <w:szCs w:val="16"/>
              </w:rPr>
              <w:t>141,405</w:t>
            </w:r>
          </w:p>
        </w:tc>
        <w:tc>
          <w:tcPr>
            <w:tcW w:w="576" w:type="pct"/>
            <w:tcBorders>
              <w:top w:val="nil"/>
              <w:left w:val="nil"/>
              <w:bottom w:val="single" w:sz="12" w:space="0" w:color="auto"/>
              <w:right w:val="nil"/>
            </w:tcBorders>
            <w:shd w:val="clear" w:color="auto" w:fill="auto"/>
            <w:vAlign w:val="center"/>
            <w:hideMark/>
          </w:tcPr>
          <w:p w:rsidR="00C0541C" w:rsidRDefault="00C0541C" w:rsidP="00C0541C">
            <w:pPr>
              <w:jc w:val="right"/>
              <w:rPr>
                <w:i/>
                <w:iCs/>
                <w:szCs w:val="16"/>
              </w:rPr>
            </w:pPr>
            <w:r>
              <w:rPr>
                <w:i/>
                <w:iCs/>
                <w:szCs w:val="16"/>
              </w:rPr>
              <w:t>211,327</w:t>
            </w:r>
          </w:p>
        </w:tc>
        <w:tc>
          <w:tcPr>
            <w:tcW w:w="621" w:type="pct"/>
            <w:tcBorders>
              <w:top w:val="nil"/>
              <w:left w:val="nil"/>
              <w:bottom w:val="single" w:sz="12" w:space="0" w:color="auto"/>
              <w:right w:val="nil"/>
            </w:tcBorders>
            <w:shd w:val="clear" w:color="auto" w:fill="auto"/>
            <w:vAlign w:val="center"/>
            <w:hideMark/>
          </w:tcPr>
          <w:p w:rsidR="00C0541C" w:rsidRDefault="00C0541C" w:rsidP="00C0541C">
            <w:pPr>
              <w:jc w:val="right"/>
              <w:rPr>
                <w:i/>
                <w:iCs/>
                <w:szCs w:val="16"/>
              </w:rPr>
            </w:pPr>
            <w:r>
              <w:rPr>
                <w:i/>
                <w:iCs/>
                <w:szCs w:val="16"/>
              </w:rPr>
              <w:t xml:space="preserve">        385,725 </w:t>
            </w:r>
          </w:p>
        </w:tc>
        <w:tc>
          <w:tcPr>
            <w:tcW w:w="602" w:type="pct"/>
            <w:tcBorders>
              <w:top w:val="nil"/>
              <w:left w:val="nil"/>
              <w:bottom w:val="single" w:sz="12" w:space="0" w:color="auto"/>
              <w:right w:val="nil"/>
            </w:tcBorders>
            <w:shd w:val="clear" w:color="auto" w:fill="auto"/>
            <w:vAlign w:val="center"/>
            <w:hideMark/>
          </w:tcPr>
          <w:p w:rsidR="00C0541C" w:rsidRDefault="00C0541C" w:rsidP="00C0541C">
            <w:pPr>
              <w:jc w:val="right"/>
              <w:rPr>
                <w:i/>
                <w:iCs/>
                <w:szCs w:val="16"/>
              </w:rPr>
            </w:pPr>
            <w:r>
              <w:rPr>
                <w:i/>
                <w:iCs/>
                <w:szCs w:val="16"/>
              </w:rPr>
              <w:t xml:space="preserve">        354,089 </w:t>
            </w:r>
          </w:p>
        </w:tc>
      </w:tr>
      <w:tr w:rsidR="00C0541C" w:rsidRPr="00D5469A" w:rsidTr="00123399">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C0541C" w:rsidRPr="00D5469A" w:rsidRDefault="00C0541C" w:rsidP="00C0541C">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C0541C" w:rsidRDefault="00C0541C" w:rsidP="00C0541C">
            <w:pPr>
              <w:jc w:val="right"/>
              <w:rPr>
                <w:b/>
                <w:bCs/>
                <w:szCs w:val="16"/>
              </w:rPr>
            </w:pPr>
            <w:r>
              <w:rPr>
                <w:b/>
                <w:bCs/>
                <w:szCs w:val="16"/>
              </w:rPr>
              <w:t>11,596,468</w:t>
            </w:r>
          </w:p>
        </w:tc>
        <w:tc>
          <w:tcPr>
            <w:tcW w:w="576" w:type="pct"/>
            <w:tcBorders>
              <w:top w:val="single" w:sz="12" w:space="0" w:color="auto"/>
              <w:left w:val="nil"/>
              <w:bottom w:val="single" w:sz="12" w:space="0" w:color="auto"/>
              <w:right w:val="nil"/>
            </w:tcBorders>
            <w:shd w:val="clear" w:color="auto" w:fill="auto"/>
            <w:vAlign w:val="center"/>
            <w:hideMark/>
          </w:tcPr>
          <w:p w:rsidR="00C0541C" w:rsidRDefault="00C0541C" w:rsidP="00C0541C">
            <w:pPr>
              <w:jc w:val="right"/>
              <w:rPr>
                <w:b/>
                <w:bCs/>
                <w:szCs w:val="16"/>
              </w:rPr>
            </w:pPr>
            <w:r>
              <w:rPr>
                <w:b/>
                <w:bCs/>
                <w:szCs w:val="16"/>
              </w:rPr>
              <w:t>13,748,309</w:t>
            </w:r>
          </w:p>
        </w:tc>
        <w:tc>
          <w:tcPr>
            <w:tcW w:w="621" w:type="pct"/>
            <w:tcBorders>
              <w:top w:val="single" w:sz="12" w:space="0" w:color="auto"/>
              <w:left w:val="nil"/>
              <w:bottom w:val="single" w:sz="12" w:space="0" w:color="auto"/>
              <w:right w:val="nil"/>
            </w:tcBorders>
            <w:shd w:val="clear" w:color="auto" w:fill="auto"/>
            <w:vAlign w:val="center"/>
            <w:hideMark/>
          </w:tcPr>
          <w:p w:rsidR="00C0541C" w:rsidRDefault="00C0541C" w:rsidP="00C0541C">
            <w:pPr>
              <w:jc w:val="right"/>
              <w:rPr>
                <w:b/>
                <w:bCs/>
                <w:szCs w:val="16"/>
              </w:rPr>
            </w:pPr>
            <w:r>
              <w:rPr>
                <w:b/>
                <w:bCs/>
                <w:szCs w:val="16"/>
              </w:rPr>
              <w:t xml:space="preserve">         190,283 </w:t>
            </w:r>
          </w:p>
        </w:tc>
        <w:tc>
          <w:tcPr>
            <w:tcW w:w="602" w:type="pct"/>
            <w:tcBorders>
              <w:top w:val="single" w:sz="12" w:space="0" w:color="auto"/>
              <w:left w:val="nil"/>
              <w:bottom w:val="single" w:sz="12" w:space="0" w:color="auto"/>
              <w:right w:val="nil"/>
            </w:tcBorders>
            <w:shd w:val="clear" w:color="auto" w:fill="auto"/>
            <w:vAlign w:val="center"/>
            <w:hideMark/>
          </w:tcPr>
          <w:p w:rsidR="00C0541C" w:rsidRDefault="00C0541C" w:rsidP="00C0541C">
            <w:pPr>
              <w:jc w:val="right"/>
              <w:rPr>
                <w:b/>
                <w:bCs/>
                <w:szCs w:val="16"/>
              </w:rPr>
            </w:pPr>
            <w:r>
              <w:rPr>
                <w:b/>
                <w:bCs/>
                <w:szCs w:val="16"/>
              </w:rPr>
              <w:t xml:space="preserve">        437,793 </w:t>
            </w:r>
          </w:p>
        </w:tc>
      </w:tr>
      <w:tr w:rsidR="00E07EFE"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5761B" w:rsidRDefault="00255FF0" w:rsidP="00114997">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w:t>
            </w:r>
            <w:r w:rsidR="00114997">
              <w:rPr>
                <w:color w:val="auto"/>
                <w:sz w:val="14"/>
                <w:szCs w:val="14"/>
              </w:rPr>
              <w:t xml:space="preserve"> </w:t>
            </w:r>
            <w:r w:rsidR="00B4576D" w:rsidRPr="00B4576D">
              <w:rPr>
                <w:color w:val="auto"/>
                <w:sz w:val="14"/>
                <w:szCs w:val="14"/>
              </w:rPr>
              <w:t xml:space="preserve">From </w:t>
            </w:r>
            <w:r w:rsidR="00192AC0" w:rsidRPr="00B4576D">
              <w:rPr>
                <w:color w:val="auto"/>
                <w:sz w:val="14"/>
                <w:szCs w:val="14"/>
              </w:rPr>
              <w:t>July</w:t>
            </w:r>
            <w:r w:rsidR="00B4576D" w:rsidRPr="00B4576D">
              <w:rPr>
                <w:color w:val="auto"/>
                <w:sz w:val="14"/>
                <w:szCs w:val="14"/>
              </w:rPr>
              <w:t xml:space="preserve">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E07EFE" w:rsidRDefault="00B4576D" w:rsidP="00114997">
            <w:pPr>
              <w:jc w:val="left"/>
              <w:rPr>
                <w:color w:val="auto"/>
                <w:sz w:val="14"/>
                <w:szCs w:val="14"/>
              </w:rPr>
            </w:pPr>
            <w:r w:rsidRPr="00B4576D">
              <w:rPr>
                <w:color w:val="auto"/>
                <w:sz w:val="14"/>
                <w:szCs w:val="14"/>
              </w:rPr>
              <w:t>Detail of changes are available at:</w:t>
            </w:r>
          </w:p>
          <w:p w:rsidR="00B4576D" w:rsidRPr="00114997" w:rsidRDefault="0071681A" w:rsidP="00B4576D">
            <w:pPr>
              <w:jc w:val="left"/>
              <w:rPr>
                <w:color w:val="auto"/>
                <w:sz w:val="14"/>
                <w:szCs w:val="14"/>
              </w:rPr>
            </w:pPr>
            <w:hyperlink r:id="rId21" w:history="1">
              <w:r w:rsidR="00B4576D" w:rsidRPr="00846D97">
                <w:rPr>
                  <w:rStyle w:val="Hyperlink"/>
                  <w:sz w:val="14"/>
                  <w:szCs w:val="14"/>
                </w:rPr>
                <w:t>http://www.sbp.org.pk/departments/stats/Expalanatory-Note.pdf</w:t>
              </w:r>
            </w:hyperlink>
          </w:p>
        </w:tc>
      </w:tr>
      <w:tr w:rsidR="00E07EFE"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85615B" w:rsidRPr="00D5469A" w:rsidTr="00123399">
        <w:trPr>
          <w:trHeight w:val="259"/>
          <w:jc w:val="center"/>
        </w:trPr>
        <w:tc>
          <w:tcPr>
            <w:tcW w:w="2626" w:type="pct"/>
            <w:tcBorders>
              <w:top w:val="single" w:sz="12" w:space="0" w:color="auto"/>
              <w:left w:val="nil"/>
              <w:bottom w:val="nil"/>
              <w:right w:val="nil"/>
            </w:tcBorders>
            <w:shd w:val="clear" w:color="auto" w:fill="auto"/>
            <w:vAlign w:val="center"/>
            <w:hideMark/>
          </w:tcPr>
          <w:p w:rsidR="0085615B" w:rsidRPr="00D5469A" w:rsidRDefault="0085615B" w:rsidP="0085615B">
            <w:pPr>
              <w:ind w:left="402"/>
              <w:jc w:val="left"/>
              <w:rPr>
                <w:color w:val="auto"/>
                <w:szCs w:val="16"/>
              </w:rPr>
            </w:pPr>
            <w:r w:rsidRPr="00D5469A">
              <w:rPr>
                <w:color w:val="auto"/>
                <w:szCs w:val="16"/>
              </w:rPr>
              <w:t>Rice</w:t>
            </w:r>
          </w:p>
        </w:tc>
        <w:tc>
          <w:tcPr>
            <w:tcW w:w="575" w:type="pct"/>
            <w:tcBorders>
              <w:top w:val="single" w:sz="12" w:space="0" w:color="auto"/>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949</w:t>
            </w:r>
          </w:p>
        </w:tc>
        <w:tc>
          <w:tcPr>
            <w:tcW w:w="576" w:type="pct"/>
            <w:tcBorders>
              <w:top w:val="single" w:sz="12" w:space="0" w:color="auto"/>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118</w:t>
            </w:r>
          </w:p>
        </w:tc>
        <w:tc>
          <w:tcPr>
            <w:tcW w:w="621" w:type="pct"/>
            <w:tcBorders>
              <w:top w:val="single" w:sz="12" w:space="0" w:color="auto"/>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(835)</w:t>
            </w:r>
          </w:p>
        </w:tc>
        <w:tc>
          <w:tcPr>
            <w:tcW w:w="602" w:type="pct"/>
            <w:tcBorders>
              <w:top w:val="single" w:sz="12" w:space="0" w:color="auto"/>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8</w:t>
            </w:r>
          </w:p>
        </w:tc>
      </w:tr>
      <w:tr w:rsidR="0085615B" w:rsidRPr="00D5469A" w:rsidTr="00123399">
        <w:trPr>
          <w:trHeight w:val="259"/>
          <w:jc w:val="center"/>
        </w:trPr>
        <w:tc>
          <w:tcPr>
            <w:tcW w:w="2626" w:type="pct"/>
            <w:tcBorders>
              <w:top w:val="nil"/>
              <w:left w:val="nil"/>
              <w:bottom w:val="nil"/>
              <w:right w:val="nil"/>
            </w:tcBorders>
            <w:shd w:val="clear" w:color="auto" w:fill="auto"/>
            <w:vAlign w:val="center"/>
            <w:hideMark/>
          </w:tcPr>
          <w:p w:rsidR="0085615B" w:rsidRPr="00D5469A" w:rsidRDefault="0085615B" w:rsidP="0085615B">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654,170</w:t>
            </w:r>
          </w:p>
        </w:tc>
        <w:tc>
          <w:tcPr>
            <w:tcW w:w="576"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697,262</w:t>
            </w:r>
          </w:p>
        </w:tc>
        <w:tc>
          <w:tcPr>
            <w:tcW w:w="621"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(99,110)</w:t>
            </w:r>
          </w:p>
        </w:tc>
        <w:tc>
          <w:tcPr>
            <w:tcW w:w="602"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(113,754)</w:t>
            </w:r>
          </w:p>
        </w:tc>
      </w:tr>
      <w:tr w:rsidR="0085615B" w:rsidRPr="00D5469A" w:rsidTr="00123399">
        <w:trPr>
          <w:trHeight w:val="259"/>
          <w:jc w:val="center"/>
        </w:trPr>
        <w:tc>
          <w:tcPr>
            <w:tcW w:w="2626" w:type="pct"/>
            <w:tcBorders>
              <w:top w:val="nil"/>
              <w:left w:val="nil"/>
              <w:bottom w:val="nil"/>
              <w:right w:val="nil"/>
            </w:tcBorders>
            <w:shd w:val="clear" w:color="auto" w:fill="auto"/>
            <w:vAlign w:val="center"/>
            <w:hideMark/>
          </w:tcPr>
          <w:p w:rsidR="0085615B" w:rsidRPr="00D5469A" w:rsidRDefault="0085615B" w:rsidP="0085615B">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56,074</w:t>
            </w:r>
          </w:p>
        </w:tc>
        <w:tc>
          <w:tcPr>
            <w:tcW w:w="576"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66,027</w:t>
            </w:r>
          </w:p>
        </w:tc>
        <w:tc>
          <w:tcPr>
            <w:tcW w:w="621"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6,211</w:t>
            </w:r>
          </w:p>
        </w:tc>
        <w:tc>
          <w:tcPr>
            <w:tcW w:w="602"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1,064</w:t>
            </w:r>
          </w:p>
        </w:tc>
      </w:tr>
      <w:tr w:rsidR="0085615B" w:rsidRPr="00D5469A" w:rsidTr="00123399">
        <w:trPr>
          <w:trHeight w:val="259"/>
          <w:jc w:val="center"/>
        </w:trPr>
        <w:tc>
          <w:tcPr>
            <w:tcW w:w="2626" w:type="pct"/>
            <w:tcBorders>
              <w:top w:val="nil"/>
              <w:left w:val="nil"/>
              <w:bottom w:val="nil"/>
              <w:right w:val="nil"/>
            </w:tcBorders>
            <w:shd w:val="clear" w:color="auto" w:fill="auto"/>
            <w:vAlign w:val="center"/>
            <w:hideMark/>
          </w:tcPr>
          <w:p w:rsidR="0085615B" w:rsidRPr="00D5469A" w:rsidRDefault="0085615B" w:rsidP="0085615B">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44,056</w:t>
            </w:r>
          </w:p>
        </w:tc>
        <w:tc>
          <w:tcPr>
            <w:tcW w:w="576"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48,682</w:t>
            </w:r>
          </w:p>
        </w:tc>
        <w:tc>
          <w:tcPr>
            <w:tcW w:w="621"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(3,311)</w:t>
            </w:r>
          </w:p>
        </w:tc>
        <w:tc>
          <w:tcPr>
            <w:tcW w:w="602" w:type="pct"/>
            <w:tcBorders>
              <w:top w:val="nil"/>
              <w:left w:val="nil"/>
              <w:bottom w:val="nil"/>
              <w:right w:val="nil"/>
            </w:tcBorders>
            <w:shd w:val="clear" w:color="auto" w:fill="auto"/>
            <w:tcMar>
              <w:left w:w="72" w:type="dxa"/>
              <w:right w:w="72" w:type="dxa"/>
            </w:tcMar>
            <w:vAlign w:val="center"/>
            <w:hideMark/>
          </w:tcPr>
          <w:p w:rsidR="0085615B" w:rsidRDefault="0085615B" w:rsidP="0085615B">
            <w:pPr>
              <w:jc w:val="right"/>
              <w:rPr>
                <w:szCs w:val="16"/>
              </w:rPr>
            </w:pPr>
            <w:r>
              <w:rPr>
                <w:szCs w:val="16"/>
              </w:rPr>
              <w:t>(17,724)</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bottom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top w:val="nil"/>
              <w:left w:val="nil"/>
              <w:right w:val="nil"/>
            </w:tcBorders>
            <w:shd w:val="clear" w:color="auto" w:fill="auto"/>
            <w:vAlign w:val="center"/>
            <w:hideMark/>
          </w:tcPr>
          <w:p w:rsidR="00123399" w:rsidRPr="00D5469A" w:rsidRDefault="00123399" w:rsidP="00123399">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123399" w:rsidRDefault="00123399" w:rsidP="00123399">
            <w:pPr>
              <w:jc w:val="right"/>
              <w:rPr>
                <w:szCs w:val="16"/>
              </w:rPr>
            </w:pPr>
            <w:r>
              <w:rPr>
                <w:szCs w:val="16"/>
              </w:rPr>
              <w:t>-</w:t>
            </w:r>
          </w:p>
        </w:tc>
      </w:tr>
      <w:tr w:rsidR="00123399" w:rsidRPr="00D5469A" w:rsidTr="00123399">
        <w:trPr>
          <w:trHeight w:val="259"/>
          <w:jc w:val="center"/>
        </w:trPr>
        <w:tc>
          <w:tcPr>
            <w:tcW w:w="2626" w:type="pct"/>
            <w:tcBorders>
              <w:left w:val="nil"/>
              <w:bottom w:val="single" w:sz="12" w:space="0" w:color="auto"/>
              <w:right w:val="nil"/>
            </w:tcBorders>
            <w:shd w:val="clear" w:color="auto" w:fill="auto"/>
            <w:vAlign w:val="center"/>
          </w:tcPr>
          <w:p w:rsidR="00123399" w:rsidRPr="00D5469A" w:rsidRDefault="00123399" w:rsidP="00123399">
            <w:pPr>
              <w:ind w:left="402"/>
              <w:jc w:val="left"/>
              <w:rPr>
                <w:color w:val="auto"/>
                <w:szCs w:val="16"/>
              </w:rPr>
            </w:pPr>
            <w:r w:rsidRPr="00D5469A">
              <w:rPr>
                <w:color w:val="auto"/>
                <w:szCs w:val="16"/>
              </w:rPr>
              <w:t>Cotton</w:t>
            </w:r>
          </w:p>
        </w:tc>
        <w:tc>
          <w:tcPr>
            <w:tcW w:w="575" w:type="pct"/>
            <w:tcBorders>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szCs w:val="16"/>
              </w:rPr>
            </w:pPr>
            <w:r>
              <w:rPr>
                <w:szCs w:val="16"/>
              </w:rPr>
              <w:t>1,167</w:t>
            </w:r>
          </w:p>
        </w:tc>
        <w:tc>
          <w:tcPr>
            <w:tcW w:w="576" w:type="pct"/>
            <w:tcBorders>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szCs w:val="16"/>
              </w:rPr>
            </w:pPr>
            <w:r>
              <w:rPr>
                <w:szCs w:val="16"/>
              </w:rPr>
              <w:t>1,345</w:t>
            </w:r>
          </w:p>
        </w:tc>
        <w:tc>
          <w:tcPr>
            <w:tcW w:w="621" w:type="pct"/>
            <w:tcBorders>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szCs w:val="16"/>
              </w:rPr>
            </w:pPr>
            <w:r>
              <w:rPr>
                <w:szCs w:val="16"/>
              </w:rPr>
              <w:t>130</w:t>
            </w:r>
          </w:p>
        </w:tc>
        <w:tc>
          <w:tcPr>
            <w:tcW w:w="602" w:type="pct"/>
            <w:tcBorders>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szCs w:val="16"/>
              </w:rPr>
            </w:pPr>
            <w:r>
              <w:rPr>
                <w:szCs w:val="16"/>
              </w:rPr>
              <w:t>94</w:t>
            </w:r>
          </w:p>
        </w:tc>
      </w:tr>
      <w:tr w:rsidR="00123399" w:rsidRPr="00D5469A" w:rsidTr="00123399">
        <w:trPr>
          <w:trHeight w:val="259"/>
          <w:jc w:val="center"/>
        </w:trPr>
        <w:tc>
          <w:tcPr>
            <w:tcW w:w="2626" w:type="pct"/>
            <w:tcBorders>
              <w:top w:val="nil"/>
              <w:left w:val="nil"/>
              <w:bottom w:val="single" w:sz="12" w:space="0" w:color="auto"/>
              <w:right w:val="nil"/>
            </w:tcBorders>
            <w:shd w:val="clear" w:color="auto" w:fill="auto"/>
            <w:vAlign w:val="center"/>
          </w:tcPr>
          <w:p w:rsidR="00123399" w:rsidRPr="00D5469A" w:rsidRDefault="00123399" w:rsidP="00123399">
            <w:pPr>
              <w:ind w:left="402"/>
              <w:jc w:val="both"/>
              <w:rPr>
                <w:b/>
                <w:color w:val="auto"/>
                <w:sz w:val="18"/>
                <w:szCs w:val="18"/>
              </w:rPr>
            </w:pPr>
            <w:r w:rsidRPr="00D5469A">
              <w:rPr>
                <w:b/>
                <w:color w:val="auto"/>
                <w:sz w:val="18"/>
                <w:szCs w:val="18"/>
              </w:rPr>
              <w:t>Total</w:t>
            </w:r>
          </w:p>
        </w:tc>
        <w:tc>
          <w:tcPr>
            <w:tcW w:w="575" w:type="pct"/>
            <w:tcBorders>
              <w:top w:val="nil"/>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b/>
                <w:bCs/>
                <w:szCs w:val="16"/>
              </w:rPr>
            </w:pPr>
            <w:r>
              <w:rPr>
                <w:b/>
                <w:bCs/>
                <w:szCs w:val="16"/>
              </w:rPr>
              <w:t>756,416</w:t>
            </w:r>
          </w:p>
        </w:tc>
        <w:tc>
          <w:tcPr>
            <w:tcW w:w="576" w:type="pct"/>
            <w:tcBorders>
              <w:top w:val="nil"/>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b/>
                <w:bCs/>
                <w:szCs w:val="16"/>
              </w:rPr>
            </w:pPr>
            <w:r>
              <w:rPr>
                <w:b/>
                <w:bCs/>
                <w:szCs w:val="16"/>
              </w:rPr>
              <w:t>813,435</w:t>
            </w:r>
          </w:p>
        </w:tc>
        <w:tc>
          <w:tcPr>
            <w:tcW w:w="621" w:type="pct"/>
            <w:tcBorders>
              <w:top w:val="nil"/>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b/>
                <w:bCs/>
                <w:szCs w:val="16"/>
              </w:rPr>
            </w:pPr>
            <w:r>
              <w:rPr>
                <w:b/>
                <w:bCs/>
                <w:szCs w:val="16"/>
              </w:rPr>
              <w:t>(96,916)</w:t>
            </w:r>
          </w:p>
        </w:tc>
        <w:tc>
          <w:tcPr>
            <w:tcW w:w="602" w:type="pct"/>
            <w:tcBorders>
              <w:top w:val="nil"/>
              <w:left w:val="nil"/>
              <w:bottom w:val="single" w:sz="12" w:space="0" w:color="auto"/>
              <w:right w:val="nil"/>
            </w:tcBorders>
            <w:shd w:val="clear" w:color="auto" w:fill="auto"/>
            <w:tcMar>
              <w:left w:w="72" w:type="dxa"/>
              <w:right w:w="72" w:type="dxa"/>
            </w:tcMar>
            <w:vAlign w:val="center"/>
          </w:tcPr>
          <w:p w:rsidR="00123399" w:rsidRDefault="00123399" w:rsidP="00123399">
            <w:pPr>
              <w:jc w:val="right"/>
              <w:rPr>
                <w:b/>
                <w:bCs/>
                <w:szCs w:val="16"/>
              </w:rPr>
            </w:pPr>
            <w:r>
              <w:rPr>
                <w:b/>
                <w:bCs/>
                <w:szCs w:val="16"/>
              </w:rPr>
              <w:t>(130,313)</w:t>
            </w:r>
          </w:p>
        </w:tc>
      </w:tr>
      <w:tr w:rsidR="00123399"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123399" w:rsidRDefault="00123399" w:rsidP="00123399">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261" w:type="dxa"/>
        <w:tblInd w:w="-151" w:type="dxa"/>
        <w:tblLook w:val="04A0" w:firstRow="1" w:lastRow="0" w:firstColumn="1" w:lastColumn="0" w:noHBand="0" w:noVBand="1"/>
      </w:tblPr>
      <w:tblGrid>
        <w:gridCol w:w="4357"/>
        <w:gridCol w:w="618"/>
        <w:gridCol w:w="618"/>
        <w:gridCol w:w="688"/>
        <w:gridCol w:w="618"/>
        <w:gridCol w:w="618"/>
        <w:gridCol w:w="688"/>
        <w:gridCol w:w="618"/>
        <w:gridCol w:w="618"/>
        <w:gridCol w:w="820"/>
      </w:tblGrid>
      <w:tr w:rsidR="00CE0560" w:rsidRPr="00CE0560" w:rsidTr="00DE1FAD">
        <w:trPr>
          <w:trHeight w:val="375"/>
        </w:trPr>
        <w:tc>
          <w:tcPr>
            <w:tcW w:w="10261"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DE1FAD">
        <w:trPr>
          <w:trHeight w:val="132"/>
        </w:trPr>
        <w:tc>
          <w:tcPr>
            <w:tcW w:w="10261"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DE1FAD" w:rsidRPr="00CE0560" w:rsidTr="00DE1FAD">
        <w:trPr>
          <w:trHeight w:val="132"/>
        </w:trPr>
        <w:tc>
          <w:tcPr>
            <w:tcW w:w="4357"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DE1FAD" w:rsidRPr="00CE0560" w:rsidRDefault="00DE1FAD" w:rsidP="00DE1FAD">
            <w:pPr>
              <w:rPr>
                <w:b/>
                <w:bCs/>
                <w:color w:val="auto"/>
                <w:sz w:val="14"/>
                <w:szCs w:val="14"/>
              </w:rPr>
            </w:pPr>
            <w:r w:rsidRPr="00CE0560">
              <w:rPr>
                <w:b/>
                <w:bCs/>
                <w:color w:val="auto"/>
                <w:sz w:val="14"/>
                <w:szCs w:val="14"/>
              </w:rPr>
              <w:t>LAST WEEDENK</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E1FAD" w:rsidRPr="00CE0560" w:rsidRDefault="00DE1FAD" w:rsidP="00DE1FAD">
            <w:pPr>
              <w:rPr>
                <w:b/>
                <w:bCs/>
                <w:color w:val="auto"/>
                <w:sz w:val="14"/>
                <w:szCs w:val="14"/>
              </w:rPr>
            </w:pPr>
            <w:r w:rsidRPr="00CE0560">
              <w:rPr>
                <w:b/>
                <w:bCs/>
                <w:color w:val="auto"/>
                <w:sz w:val="14"/>
                <w:szCs w:val="14"/>
              </w:rPr>
              <w:t>Sep-20</w:t>
            </w:r>
          </w:p>
        </w:tc>
        <w:tc>
          <w:tcPr>
            <w:tcW w:w="0" w:type="auto"/>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E1FAD" w:rsidRPr="00CE0560" w:rsidRDefault="00DE1FAD" w:rsidP="00DE1FAD">
            <w:pPr>
              <w:rPr>
                <w:b/>
                <w:bCs/>
                <w:color w:val="auto"/>
                <w:sz w:val="14"/>
                <w:szCs w:val="14"/>
              </w:rPr>
            </w:pPr>
            <w:r>
              <w:rPr>
                <w:b/>
                <w:bCs/>
                <w:color w:val="auto"/>
                <w:sz w:val="14"/>
                <w:szCs w:val="14"/>
              </w:rPr>
              <w:t>Oct</w:t>
            </w:r>
            <w:r w:rsidRPr="00CE0560">
              <w:rPr>
                <w:b/>
                <w:bCs/>
                <w:color w:val="auto"/>
                <w:sz w:val="14"/>
                <w:szCs w:val="14"/>
              </w:rPr>
              <w:t>-20</w:t>
            </w:r>
          </w:p>
        </w:tc>
        <w:tc>
          <w:tcPr>
            <w:tcW w:w="2056" w:type="dxa"/>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tcPr>
          <w:p w:rsidR="00DE1FAD" w:rsidRPr="00CE0560" w:rsidRDefault="00DE1FAD" w:rsidP="00DE1FAD">
            <w:pPr>
              <w:rPr>
                <w:b/>
                <w:bCs/>
                <w:color w:val="auto"/>
                <w:sz w:val="14"/>
                <w:szCs w:val="14"/>
              </w:rPr>
            </w:pPr>
            <w:r>
              <w:rPr>
                <w:b/>
                <w:bCs/>
                <w:color w:val="auto"/>
                <w:sz w:val="14"/>
                <w:szCs w:val="14"/>
              </w:rPr>
              <w:t>Nov-20</w:t>
            </w:r>
          </w:p>
        </w:tc>
      </w:tr>
      <w:tr w:rsidR="00DE1FAD" w:rsidRPr="00CE0560" w:rsidTr="00DE1FAD">
        <w:trPr>
          <w:trHeight w:val="133"/>
        </w:trPr>
        <w:tc>
          <w:tcPr>
            <w:tcW w:w="4357"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DE1FAD" w:rsidRPr="00CE0560" w:rsidRDefault="00DE1FAD" w:rsidP="00DE1FAD">
            <w:pPr>
              <w:jc w:val="left"/>
              <w:rPr>
                <w:b/>
                <w:bCs/>
                <w:color w:val="auto"/>
                <w:sz w:val="14"/>
                <w:szCs w:val="14"/>
              </w:rPr>
            </w:pP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Banking</w:t>
            </w:r>
          </w:p>
        </w:tc>
        <w:tc>
          <w:tcPr>
            <w:tcW w:w="0" w:type="auto"/>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Issue</w:t>
            </w:r>
          </w:p>
        </w:tc>
        <w:tc>
          <w:tcPr>
            <w:tcW w:w="0" w:type="auto"/>
            <w:tcBorders>
              <w:top w:val="nil"/>
              <w:left w:val="nil"/>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Banking</w:t>
            </w:r>
          </w:p>
        </w:tc>
        <w:tc>
          <w:tcPr>
            <w:tcW w:w="820" w:type="dxa"/>
            <w:tcBorders>
              <w:top w:val="nil"/>
              <w:left w:val="nil"/>
              <w:bottom w:val="single" w:sz="8" w:space="0" w:color="auto"/>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Total</w:t>
            </w:r>
          </w:p>
        </w:tc>
      </w:tr>
      <w:tr w:rsidR="00DE1FAD" w:rsidRPr="00CE0560" w:rsidTr="00DE1FAD">
        <w:trPr>
          <w:trHeight w:val="173"/>
        </w:trPr>
        <w:tc>
          <w:tcPr>
            <w:tcW w:w="4357" w:type="dxa"/>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color w:val="auto"/>
                <w:sz w:val="20"/>
              </w:rPr>
            </w:pPr>
          </w:p>
        </w:tc>
        <w:tc>
          <w:tcPr>
            <w:tcW w:w="0" w:type="auto"/>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rPr>
                <w:color w:val="auto"/>
                <w:sz w:val="20"/>
              </w:rPr>
            </w:pPr>
          </w:p>
        </w:tc>
        <w:tc>
          <w:tcPr>
            <w:tcW w:w="82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color w:val="auto"/>
                <w:sz w:val="20"/>
              </w:rPr>
            </w:pP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12,115,376</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5,840,529</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12,287,568</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9C31B3"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9C31B3"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9C31B3"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C31B3"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C31B3" w:rsidRDefault="00DE1FAD" w:rsidP="00DE1FAD">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8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1,430,629</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1,516,210</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2,946,839</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1,441,802</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1,354,944</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2,796,746</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1,616,330</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1,318,332</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2,934,662</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676,223</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676,223</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626,745</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626,745</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742,746</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1,480,142</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2,222,888</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803,707</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1,318,036</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2,121,743</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978,247</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1,288,559</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2,266,806</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11,660</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11,235</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22,895</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11,350</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10,935</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22,285</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11,338</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4,610</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15,948</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28</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24,805</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24,805</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25,946</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25,946</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25,136</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25,136</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8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820,563</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820,563</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858,826</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858,826</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758,562</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820,563</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820,563</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858,826</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858,826</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758,562</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758,562</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ind w:firstLineChars="100" w:firstLine="140"/>
              <w:jc w:val="right"/>
              <w:rPr>
                <w:sz w:val="14"/>
                <w:szCs w:val="14"/>
              </w:rPr>
            </w:pP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709,999</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709,999</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788,941</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788,941</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825,593</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2,319</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2,319</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2,458</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2,458</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2,531</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2,531</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227,962</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227,962</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238,382</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238,382</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243,464</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243,464</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366,818</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366,818</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394,530</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394,530</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413,130</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413,130</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112,900</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112,900</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153,571</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153,571</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166,468</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166,468</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ind w:firstLineChars="100" w:firstLine="140"/>
              <w:jc w:val="right"/>
              <w:rPr>
                <w:sz w:val="14"/>
                <w:szCs w:val="14"/>
              </w:rPr>
            </w:pP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184,115</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184,115</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216,494</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216,494</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228,951</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34,330</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34,330</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39,821</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39,821</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42,547</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42,547</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122,661</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122,661</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138,736</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138,736</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144,496</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144,496</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27,124</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27,124</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37,937</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37,937</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41,908</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41,908</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2,090,342</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b/>
                <w:bCs/>
                <w:sz w:val="14"/>
                <w:szCs w:val="14"/>
              </w:rPr>
            </w:pPr>
            <w:r w:rsidRPr="00CE0560">
              <w:rPr>
                <w:b/>
                <w:bCs/>
                <w:sz w:val="14"/>
                <w:szCs w:val="14"/>
              </w:rPr>
              <w:t>7,096,728</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4,992,613</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2,146,876</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b/>
                <w:bCs/>
                <w:sz w:val="14"/>
                <w:szCs w:val="14"/>
              </w:rPr>
            </w:pPr>
            <w:r w:rsidRPr="00F633BF">
              <w:rPr>
                <w:b/>
                <w:bCs/>
                <w:sz w:val="14"/>
                <w:szCs w:val="14"/>
              </w:rPr>
              <w:t>7,139,489</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4,901,684</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2,284,761</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7,186,445</w:t>
            </w:r>
          </w:p>
        </w:tc>
      </w:tr>
      <w:tr w:rsidR="00DE1FAD"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sz w:val="14"/>
                <w:szCs w:val="14"/>
              </w:rPr>
            </w:pPr>
            <w:r w:rsidRPr="00CE0560">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E1FAD" w:rsidRPr="00F633BF" w:rsidRDefault="00DE1FAD" w:rsidP="00DE1FAD">
            <w:pPr>
              <w:jc w:val="right"/>
              <w:rPr>
                <w:sz w:val="14"/>
                <w:szCs w:val="14"/>
              </w:rPr>
            </w:pPr>
            <w:r w:rsidRPr="00F633BF">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8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2,740</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5,006,386</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2,058,204</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7,064,590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4,992,613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2,113,036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7,105,649</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4,901,684</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2,255,648</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7,157,332</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29,398</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29,398</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31,100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31,100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26,373</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26,373</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b/>
                <w:bCs/>
                <w:sz w:val="14"/>
                <w:szCs w:val="14"/>
              </w:rPr>
            </w:pPr>
            <w:r w:rsidRPr="00CE0560">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b/>
                <w:bCs/>
                <w:sz w:val="14"/>
                <w:szCs w:val="14"/>
              </w:rPr>
            </w:pPr>
            <w:r w:rsidRPr="00CE0560">
              <w:rPr>
                <w:b/>
                <w:bCs/>
                <w:sz w:val="14"/>
                <w:szCs w:val="14"/>
              </w:rPr>
              <w:t>132,619</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b/>
                <w:bCs/>
                <w:sz w:val="14"/>
                <w:szCs w:val="14"/>
              </w:rPr>
            </w:pPr>
            <w:r w:rsidRPr="00CE0560">
              <w:rPr>
                <w:b/>
                <w:bCs/>
                <w:sz w:val="14"/>
                <w:szCs w:val="14"/>
              </w:rPr>
              <w:t>132,619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152,462</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152,462</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51,353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70,919</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70,919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27,984</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53,282</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53,282</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53,559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53,559</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53,559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53,559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137,311</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137,311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137,369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137,369</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137,482</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137,482</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702</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702</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531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531</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389</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389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12,892</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73,608</w:t>
            </w:r>
          </w:p>
        </w:tc>
        <w:tc>
          <w:tcPr>
            <w:tcW w:w="0" w:type="auto"/>
            <w:tcBorders>
              <w:top w:val="nil"/>
              <w:left w:val="nil"/>
              <w:bottom w:val="nil"/>
              <w:right w:val="nil"/>
            </w:tcBorders>
            <w:shd w:val="clear" w:color="auto" w:fill="auto"/>
            <w:noWrap/>
            <w:tcMar>
              <w:left w:w="29" w:type="dxa"/>
              <w:right w:w="29" w:type="dxa"/>
            </w:tcMar>
            <w:vAlign w:val="center"/>
            <w:hideMark/>
          </w:tcPr>
          <w:p w:rsidR="00BA3EF2" w:rsidRPr="00CE0560" w:rsidRDefault="00BA3EF2" w:rsidP="00BA3EF2">
            <w:pPr>
              <w:jc w:val="right"/>
              <w:rPr>
                <w:sz w:val="14"/>
                <w:szCs w:val="14"/>
              </w:rPr>
            </w:pPr>
            <w:r w:rsidRPr="00CE0560">
              <w:rPr>
                <w:sz w:val="14"/>
                <w:szCs w:val="14"/>
              </w:rPr>
              <w:t>86,500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12,093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184,617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196,710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12,093</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209,876</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221,969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sz w:val="14"/>
                <w:szCs w:val="14"/>
              </w:rPr>
            </w:pP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sz w:val="14"/>
                <w:szCs w:val="14"/>
              </w:rPr>
            </w:pP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rPr>
                <w:rFonts w:asciiTheme="majorBidi" w:hAnsiTheme="majorBidi" w:cstheme="majorBidi"/>
                <w:b/>
                <w:bCs/>
                <w:sz w:val="14"/>
                <w:szCs w:val="14"/>
              </w:rPr>
            </w:pPr>
            <w:r w:rsidRPr="00C80418">
              <w:rPr>
                <w:rFonts w:asciiTheme="majorBidi" w:hAnsiTheme="majorBidi" w:cstheme="majorBidi"/>
                <w:b/>
                <w:bCs/>
                <w:sz w:val="14"/>
                <w:szCs w:val="14"/>
              </w:rPr>
              <w:t>5,664,767</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rPr>
                <w:rFonts w:asciiTheme="majorBidi" w:hAnsiTheme="majorBidi" w:cstheme="majorBidi"/>
                <w:b/>
                <w:bCs/>
                <w:sz w:val="14"/>
                <w:szCs w:val="14"/>
              </w:rPr>
            </w:pPr>
            <w:r w:rsidRPr="00C80418">
              <w:rPr>
                <w:rFonts w:asciiTheme="majorBidi" w:hAnsiTheme="majorBidi" w:cstheme="majorBidi"/>
                <w:b/>
                <w:bCs/>
                <w:sz w:val="14"/>
                <w:szCs w:val="14"/>
              </w:rPr>
              <w:t>12,115,376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5,840,529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12,287,568</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5,916,019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12,446,515</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1,300,907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1,375,408</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1,375,408</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1,293,379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100</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99,900</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26,210</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757,549</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757,549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727,637</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727,637</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727,637</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417,148</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417,148</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521,561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521,561</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439,532</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439,532</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6,450,609</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6,447,039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6,530,496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(163)</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6,530,333</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6,450,504</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6,446,846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6,530,333</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6,530,333</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(105)</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(193)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(163)</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r w:rsidRPr="00CE0560">
              <w:rPr>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1,601,691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1,806,672</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1,806,672</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1,960,794</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582,353</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582,353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426,586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426,586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822,018</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822,018</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312,777</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312,777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372,841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372,841</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323,562</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323,562</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603,976</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603,976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904,690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904,690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712,995</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712,995</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102,585</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102,585</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102,555</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102,555</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102,219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102,219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1,024,071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993,377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993,377</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992,738</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235,983</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235,983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229,740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229,740</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230,034</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230,034</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74,693</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74,693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72,138</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72,138</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71,807</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71,807</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713,387</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713,387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691,491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691,491</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690,889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690,889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8</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8</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8</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b/>
                <w:bCs/>
                <w:sz w:val="14"/>
                <w:szCs w:val="14"/>
              </w:rPr>
            </w:pPr>
            <w:r w:rsidRPr="00C80418">
              <w:rPr>
                <w:rFonts w:asciiTheme="majorBidi" w:hAnsiTheme="majorBidi" w:cstheme="majorBidi"/>
                <w:b/>
                <w:bCs/>
                <w:sz w:val="14"/>
                <w:szCs w:val="14"/>
              </w:rPr>
              <w:t>1,530,373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1,463,666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b/>
                <w:bCs/>
                <w:sz w:val="14"/>
                <w:szCs w:val="14"/>
              </w:rPr>
            </w:pPr>
            <w:r w:rsidRPr="00F633BF">
              <w:rPr>
                <w:b/>
                <w:bCs/>
                <w:sz w:val="14"/>
                <w:szCs w:val="14"/>
              </w:rPr>
              <w:t>1,463,666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b/>
                <w:bCs/>
                <w:sz w:val="14"/>
                <w:szCs w:val="14"/>
              </w:rPr>
            </w:pPr>
            <w:r w:rsidRPr="009D3F5B">
              <w:rPr>
                <w:rFonts w:asciiTheme="majorBidi" w:hAnsiTheme="majorBidi" w:cstheme="majorBidi"/>
                <w:b/>
                <w:bCs/>
                <w:sz w:val="14"/>
                <w:szCs w:val="14"/>
              </w:rPr>
              <w:t>1,470,019</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810,641</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810,641</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757,033</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757,033</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757,034</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757,034</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230,527</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230,527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224,397</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224,397</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224,164</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224,164</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489,205</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489,205</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482,236</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482,236</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488,821</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488,821</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r>
      <w:tr w:rsidR="00BA3EF2" w:rsidRPr="00CE0560" w:rsidTr="00DE1FAD">
        <w:trPr>
          <w:trHeight w:val="144"/>
        </w:trPr>
        <w:tc>
          <w:tcPr>
            <w:tcW w:w="4357" w:type="dxa"/>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207,830</w:t>
            </w:r>
          </w:p>
        </w:tc>
        <w:tc>
          <w:tcPr>
            <w:tcW w:w="0" w:type="auto"/>
            <w:tcBorders>
              <w:top w:val="nil"/>
              <w:left w:val="nil"/>
              <w:bottom w:val="nil"/>
              <w:right w:val="nil"/>
            </w:tcBorders>
            <w:shd w:val="clear" w:color="auto" w:fill="auto"/>
            <w:noWrap/>
            <w:tcMar>
              <w:left w:w="29" w:type="dxa"/>
              <w:right w:w="29" w:type="dxa"/>
            </w:tcMar>
            <w:vAlign w:val="center"/>
          </w:tcPr>
          <w:p w:rsidR="00BA3EF2" w:rsidRPr="00C80418" w:rsidRDefault="00BA3EF2" w:rsidP="00BA3EF2">
            <w:pPr>
              <w:jc w:val="right"/>
              <w:rPr>
                <w:rFonts w:asciiTheme="majorBidi" w:hAnsiTheme="majorBidi" w:cstheme="majorBidi"/>
                <w:sz w:val="14"/>
                <w:szCs w:val="14"/>
              </w:rPr>
            </w:pPr>
            <w:r w:rsidRPr="00C80418">
              <w:rPr>
                <w:rFonts w:asciiTheme="majorBidi" w:hAnsiTheme="majorBidi" w:cstheme="majorBidi"/>
                <w:sz w:val="14"/>
                <w:szCs w:val="14"/>
              </w:rPr>
              <w:t>207,830</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201,599</w:t>
            </w:r>
          </w:p>
        </w:tc>
        <w:tc>
          <w:tcPr>
            <w:tcW w:w="0" w:type="auto"/>
            <w:tcBorders>
              <w:top w:val="nil"/>
              <w:left w:val="nil"/>
              <w:bottom w:val="nil"/>
              <w:right w:val="nil"/>
            </w:tcBorders>
            <w:shd w:val="clear" w:color="auto" w:fill="auto"/>
            <w:noWrap/>
            <w:tcMar>
              <w:left w:w="29" w:type="dxa"/>
              <w:right w:w="29" w:type="dxa"/>
            </w:tcMar>
            <w:vAlign w:val="center"/>
          </w:tcPr>
          <w:p w:rsidR="00BA3EF2" w:rsidRPr="00F633BF" w:rsidRDefault="00BA3EF2" w:rsidP="00BA3EF2">
            <w:pPr>
              <w:jc w:val="right"/>
              <w:rPr>
                <w:sz w:val="14"/>
                <w:szCs w:val="14"/>
              </w:rPr>
            </w:pPr>
            <w:r w:rsidRPr="00F633BF">
              <w:rPr>
                <w:sz w:val="14"/>
                <w:szCs w:val="14"/>
              </w:rPr>
              <w:t>201,599</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199,252</w:t>
            </w:r>
          </w:p>
        </w:tc>
        <w:tc>
          <w:tcPr>
            <w:tcW w:w="820" w:type="dxa"/>
            <w:tcBorders>
              <w:top w:val="nil"/>
              <w:left w:val="nil"/>
              <w:bottom w:val="nil"/>
              <w:right w:val="nil"/>
            </w:tcBorders>
            <w:shd w:val="clear" w:color="auto" w:fill="auto"/>
            <w:noWrap/>
            <w:tcMar>
              <w:left w:w="29" w:type="dxa"/>
              <w:right w:w="29" w:type="dxa"/>
            </w:tcMar>
            <w:vAlign w:val="center"/>
          </w:tcPr>
          <w:p w:rsidR="00BA3EF2" w:rsidRPr="009D3F5B" w:rsidRDefault="00BA3EF2" w:rsidP="00BA3EF2">
            <w:pPr>
              <w:jc w:val="right"/>
              <w:rPr>
                <w:rFonts w:asciiTheme="majorBidi" w:hAnsiTheme="majorBidi" w:cstheme="majorBidi"/>
                <w:sz w:val="14"/>
                <w:szCs w:val="14"/>
              </w:rPr>
            </w:pPr>
            <w:r w:rsidRPr="009D3F5B">
              <w:rPr>
                <w:rFonts w:asciiTheme="majorBidi" w:hAnsiTheme="majorBidi" w:cstheme="majorBidi"/>
                <w:sz w:val="14"/>
                <w:szCs w:val="14"/>
              </w:rPr>
              <w:t>199,252</w:t>
            </w:r>
          </w:p>
        </w:tc>
      </w:tr>
      <w:tr w:rsidR="00BA3EF2" w:rsidRPr="00CE0560" w:rsidTr="00DE1FAD">
        <w:trPr>
          <w:trHeight w:val="173"/>
        </w:trPr>
        <w:tc>
          <w:tcPr>
            <w:tcW w:w="4357" w:type="dxa"/>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lef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0" w:type="auto"/>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c>
          <w:tcPr>
            <w:tcW w:w="820" w:type="dxa"/>
            <w:tcBorders>
              <w:top w:val="nil"/>
              <w:left w:val="nil"/>
              <w:bottom w:val="single" w:sz="8" w:space="0" w:color="auto"/>
              <w:right w:val="nil"/>
            </w:tcBorders>
            <w:shd w:val="clear" w:color="auto" w:fill="auto"/>
            <w:noWrap/>
            <w:tcMar>
              <w:left w:w="29" w:type="dxa"/>
              <w:right w:w="29" w:type="dxa"/>
            </w:tcMar>
            <w:vAlign w:val="center"/>
          </w:tcPr>
          <w:p w:rsidR="00BA3EF2" w:rsidRPr="00CE0560" w:rsidRDefault="00BA3EF2" w:rsidP="00BA3EF2">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EC0B06">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EC0B06">
        <w:trPr>
          <w:trHeight w:val="132"/>
        </w:trPr>
        <w:tc>
          <w:tcPr>
            <w:tcW w:w="10350" w:type="dxa"/>
            <w:gridSpan w:val="10"/>
            <w:tcBorders>
              <w:left w:val="nil"/>
              <w:bottom w:val="single" w:sz="8" w:space="0" w:color="000000"/>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DE1FAD" w:rsidRPr="00CE0560" w:rsidTr="00EC0B06">
        <w:trPr>
          <w:trHeight w:val="132"/>
        </w:trPr>
        <w:tc>
          <w:tcPr>
            <w:tcW w:w="4320" w:type="dxa"/>
            <w:vMerge w:val="restart"/>
            <w:tcBorders>
              <w:top w:val="single" w:sz="8" w:space="0" w:color="auto"/>
              <w:left w:val="nil"/>
              <w:bottom w:val="single" w:sz="8" w:space="0" w:color="000000"/>
              <w:right w:val="single" w:sz="4" w:space="0" w:color="auto"/>
            </w:tcBorders>
            <w:shd w:val="clear" w:color="auto" w:fill="auto"/>
            <w:noWrap/>
            <w:tcMar>
              <w:left w:w="29" w:type="dxa"/>
              <w:right w:w="29" w:type="dxa"/>
            </w:tcMar>
            <w:vAlign w:val="center"/>
            <w:hideMark/>
          </w:tcPr>
          <w:p w:rsidR="00DE1FAD" w:rsidRPr="00CE0560" w:rsidRDefault="00DE1FAD" w:rsidP="00DE1FAD">
            <w:pPr>
              <w:rPr>
                <w:b/>
                <w:bCs/>
                <w:color w:val="auto"/>
                <w:sz w:val="14"/>
                <w:szCs w:val="14"/>
              </w:rPr>
            </w:pPr>
            <w:r w:rsidRPr="00CE0560">
              <w:rPr>
                <w:b/>
                <w:bCs/>
                <w:color w:val="auto"/>
                <w:sz w:val="14"/>
                <w:szCs w:val="14"/>
              </w:rPr>
              <w:t>LAST WEEDENK</w:t>
            </w:r>
          </w:p>
        </w:tc>
        <w:tc>
          <w:tcPr>
            <w:tcW w:w="198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E1FAD" w:rsidRPr="00CE0560" w:rsidRDefault="00DE1FAD" w:rsidP="00DE1FAD">
            <w:pPr>
              <w:rPr>
                <w:b/>
                <w:bCs/>
                <w:color w:val="auto"/>
                <w:sz w:val="14"/>
                <w:szCs w:val="14"/>
              </w:rPr>
            </w:pPr>
            <w:r>
              <w:rPr>
                <w:b/>
                <w:bCs/>
                <w:color w:val="auto"/>
                <w:sz w:val="14"/>
                <w:szCs w:val="14"/>
              </w:rPr>
              <w:t>Dec-20</w:t>
            </w:r>
          </w:p>
        </w:tc>
        <w:tc>
          <w:tcPr>
            <w:tcW w:w="198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E1FAD" w:rsidRPr="00CE0560" w:rsidRDefault="00DE1FAD" w:rsidP="00DE1FAD">
            <w:pPr>
              <w:rPr>
                <w:b/>
                <w:bCs/>
                <w:color w:val="auto"/>
                <w:sz w:val="14"/>
                <w:szCs w:val="14"/>
              </w:rPr>
            </w:pPr>
            <w:r>
              <w:rPr>
                <w:b/>
                <w:bCs/>
                <w:color w:val="auto"/>
                <w:sz w:val="14"/>
                <w:szCs w:val="14"/>
              </w:rPr>
              <w:t>Jan-21</w:t>
            </w:r>
          </w:p>
        </w:tc>
        <w:tc>
          <w:tcPr>
            <w:tcW w:w="2070" w:type="dxa"/>
            <w:gridSpan w:val="3"/>
            <w:tcBorders>
              <w:top w:val="single" w:sz="8" w:space="0" w:color="auto"/>
              <w:left w:val="single" w:sz="4" w:space="0" w:color="auto"/>
              <w:bottom w:val="single" w:sz="4" w:space="0" w:color="auto"/>
            </w:tcBorders>
            <w:shd w:val="clear" w:color="auto" w:fill="auto"/>
            <w:noWrap/>
            <w:tcMar>
              <w:left w:w="29" w:type="dxa"/>
              <w:right w:w="29" w:type="dxa"/>
            </w:tcMar>
            <w:vAlign w:val="center"/>
          </w:tcPr>
          <w:p w:rsidR="00DE1FAD" w:rsidRPr="00CE0560" w:rsidRDefault="00DE1FAD" w:rsidP="00DE1FAD">
            <w:pPr>
              <w:rPr>
                <w:b/>
                <w:bCs/>
                <w:color w:val="auto"/>
                <w:sz w:val="14"/>
                <w:szCs w:val="14"/>
              </w:rPr>
            </w:pPr>
            <w:r>
              <w:rPr>
                <w:b/>
                <w:bCs/>
                <w:color w:val="auto"/>
                <w:sz w:val="14"/>
                <w:szCs w:val="14"/>
              </w:rPr>
              <w:t>Feb-21</w:t>
            </w:r>
          </w:p>
        </w:tc>
      </w:tr>
      <w:tr w:rsidR="00DE1FAD" w:rsidRPr="00CE0560" w:rsidTr="00EC0B06">
        <w:trPr>
          <w:trHeight w:val="133"/>
        </w:trPr>
        <w:tc>
          <w:tcPr>
            <w:tcW w:w="4320" w:type="dxa"/>
            <w:vMerge/>
            <w:tcBorders>
              <w:top w:val="single" w:sz="4" w:space="0" w:color="auto"/>
              <w:left w:val="nil"/>
              <w:bottom w:val="single" w:sz="8" w:space="0" w:color="auto"/>
              <w:right w:val="single" w:sz="4" w:space="0" w:color="auto"/>
            </w:tcBorders>
            <w:tcMar>
              <w:left w:w="29" w:type="dxa"/>
              <w:right w:w="29" w:type="dxa"/>
            </w:tcMar>
            <w:vAlign w:val="center"/>
            <w:hideMark/>
          </w:tcPr>
          <w:p w:rsidR="00DE1FAD" w:rsidRPr="00CE0560" w:rsidRDefault="00DE1FAD" w:rsidP="00DE1FAD">
            <w:pPr>
              <w:jc w:val="left"/>
              <w:rPr>
                <w:b/>
                <w:bCs/>
                <w:color w:val="auto"/>
                <w:sz w:val="14"/>
                <w:szCs w:val="14"/>
              </w:rPr>
            </w:pP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b/>
                <w:bCs/>
                <w:color w:val="auto"/>
                <w:sz w:val="14"/>
                <w:szCs w:val="14"/>
              </w:rPr>
            </w:pPr>
            <w:r w:rsidRPr="00CE0560">
              <w:rPr>
                <w:b/>
                <w:bCs/>
                <w:color w:val="auto"/>
                <w:sz w:val="14"/>
                <w:szCs w:val="14"/>
              </w:rPr>
              <w:t>Issue</w:t>
            </w: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right w:val="single" w:sz="4" w:space="0" w:color="auto"/>
            </w:tcBorders>
            <w:shd w:val="clear" w:color="auto" w:fill="auto"/>
            <w:noWrap/>
            <w:tcMar>
              <w:left w:w="29" w:type="dxa"/>
              <w:right w:w="29" w:type="dxa"/>
            </w:tcMar>
            <w:vAlign w:val="center"/>
          </w:tcPr>
          <w:p w:rsidR="00DE1FAD" w:rsidRPr="00CE0560" w:rsidRDefault="00DE1FAD" w:rsidP="00DE1FAD">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Issue</w:t>
            </w:r>
          </w:p>
        </w:tc>
        <w:tc>
          <w:tcPr>
            <w:tcW w:w="630" w:type="dxa"/>
            <w:tcBorders>
              <w:top w:val="nil"/>
              <w:left w:val="nil"/>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right w:val="single" w:sz="4" w:space="0" w:color="auto"/>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Issue</w:t>
            </w:r>
          </w:p>
        </w:tc>
        <w:tc>
          <w:tcPr>
            <w:tcW w:w="720" w:type="dxa"/>
            <w:tcBorders>
              <w:top w:val="nil"/>
              <w:left w:val="nil"/>
              <w:bottom w:val="single" w:sz="8" w:space="0" w:color="auto"/>
              <w:right w:val="nil"/>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Banking</w:t>
            </w:r>
          </w:p>
        </w:tc>
        <w:tc>
          <w:tcPr>
            <w:tcW w:w="720" w:type="dxa"/>
            <w:tcBorders>
              <w:top w:val="nil"/>
              <w:left w:val="nil"/>
              <w:bottom w:val="single" w:sz="8" w:space="0" w:color="auto"/>
            </w:tcBorders>
            <w:shd w:val="clear" w:color="auto" w:fill="auto"/>
            <w:noWrap/>
            <w:tcMar>
              <w:left w:w="29" w:type="dxa"/>
              <w:right w:w="29" w:type="dxa"/>
            </w:tcMar>
            <w:vAlign w:val="center"/>
            <w:hideMark/>
          </w:tcPr>
          <w:p w:rsidR="00DE1FAD" w:rsidRPr="00CE0560" w:rsidRDefault="00DE1FAD" w:rsidP="00DE1FAD">
            <w:pPr>
              <w:jc w:val="right"/>
              <w:rPr>
                <w:b/>
                <w:bCs/>
                <w:color w:val="auto"/>
                <w:sz w:val="14"/>
                <w:szCs w:val="14"/>
              </w:rPr>
            </w:pPr>
            <w:r w:rsidRPr="00CE0560">
              <w:rPr>
                <w:b/>
                <w:bCs/>
                <w:color w:val="auto"/>
                <w:sz w:val="14"/>
                <w:szCs w:val="14"/>
              </w:rPr>
              <w:t>Total</w:t>
            </w:r>
          </w:p>
        </w:tc>
      </w:tr>
      <w:tr w:rsidR="00DE1FAD" w:rsidRPr="00CE0560" w:rsidTr="00192AC0">
        <w:trPr>
          <w:trHeight w:val="60"/>
        </w:trPr>
        <w:tc>
          <w:tcPr>
            <w:tcW w:w="432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1143F1" w:rsidRDefault="00DE1FAD" w:rsidP="00DE1FAD">
            <w:pPr>
              <w:jc w:val="right"/>
              <w:rPr>
                <w:b/>
                <w:bCs/>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tcPr>
          <w:p w:rsidR="00DE1FAD" w:rsidRPr="001143F1" w:rsidRDefault="00DE1FAD" w:rsidP="00DE1FAD">
            <w:pPr>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tcPr>
          <w:p w:rsidR="00DE1FAD" w:rsidRPr="001143F1" w:rsidRDefault="00DE1FAD" w:rsidP="00DE1FAD">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tcPr>
          <w:p w:rsidR="00DE1FAD" w:rsidRPr="001143F1" w:rsidRDefault="00DE1FAD" w:rsidP="00DE1FAD">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1143F1" w:rsidRDefault="00DE1FAD" w:rsidP="00DE1FAD">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1143F1" w:rsidRDefault="00DE1FAD" w:rsidP="00DE1FAD">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1143F1" w:rsidRDefault="00DE1FAD" w:rsidP="00DE1FAD">
            <w:pPr>
              <w:jc w:val="right"/>
              <w:rPr>
                <w:color w:val="auto"/>
                <w:sz w:val="12"/>
                <w:szCs w:val="12"/>
              </w:rPr>
            </w:pPr>
          </w:p>
        </w:tc>
        <w:tc>
          <w:tcPr>
            <w:tcW w:w="63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1143F1" w:rsidRDefault="00DE1FAD" w:rsidP="00DE1FAD">
            <w:pPr>
              <w:jc w:val="right"/>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1143F1" w:rsidRDefault="00DE1FAD" w:rsidP="00DE1FAD">
            <w:pPr>
              <w:rPr>
                <w:color w:val="auto"/>
                <w:sz w:val="12"/>
                <w:szCs w:val="12"/>
              </w:rPr>
            </w:pPr>
          </w:p>
        </w:tc>
        <w:tc>
          <w:tcPr>
            <w:tcW w:w="720" w:type="dxa"/>
            <w:tcBorders>
              <w:top w:val="single" w:sz="8" w:space="0" w:color="auto"/>
              <w:left w:val="nil"/>
              <w:bottom w:val="nil"/>
              <w:right w:val="nil"/>
            </w:tcBorders>
            <w:shd w:val="clear" w:color="auto" w:fill="auto"/>
            <w:noWrap/>
            <w:tcMar>
              <w:left w:w="29" w:type="dxa"/>
              <w:right w:w="29" w:type="dxa"/>
            </w:tcMar>
            <w:vAlign w:val="center"/>
            <w:hideMark/>
          </w:tcPr>
          <w:p w:rsidR="00DE1FAD" w:rsidRPr="00CE0560" w:rsidRDefault="00DE1FAD" w:rsidP="00DE1FAD">
            <w:pPr>
              <w:jc w:val="right"/>
              <w:rPr>
                <w:color w:val="auto"/>
                <w:sz w:val="20"/>
              </w:rPr>
            </w:pP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6,678,161</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5,910,744</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12,588,905</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6,798,984</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5,923,578</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12,722,562</w:t>
            </w:r>
          </w:p>
        </w:tc>
      </w:tr>
      <w:tr w:rsidR="00DE1FAD"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0669A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0669A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0669AD">
            <w:pPr>
              <w:jc w:val="right"/>
              <w:rPr>
                <w:rFonts w:asciiTheme="majorBidi" w:hAnsiTheme="majorBidi" w:cstheme="majorBidi"/>
                <w:b/>
                <w:bCs/>
                <w:sz w:val="14"/>
                <w:szCs w:val="14"/>
              </w:rPr>
            </w:pP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1,519,890</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1,403,415</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2,923,305</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1,237,642</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1,688,931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2,926,573</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1,282,071</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1,575,025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2,857,096</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583,953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620,126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620,126</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572,638</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572,638</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924,367</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1,372,516</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2,296,883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605,983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1,657,820</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2,263,803</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709,433</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1,534,465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2,243,898</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11,570</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4,704</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16,274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11,533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4,689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16,222</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10,123</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10,123</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28</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26,167</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26,395</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26,395</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30,410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30,410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E0AB2" w:rsidRDefault="00DE1FAD" w:rsidP="00DE1FAD">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1,052,076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987,969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987,969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1,094,290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1,094,290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1,052,076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987,969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987,969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1,094,290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1,094,290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839,238</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830,387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830,387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827,445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827,445</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2,907</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3,191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3,191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3,342</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3,342</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250,926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261,361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261,361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274,140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274,140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419,370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410,958</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410,958</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397,666</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397,666</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166,035</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154,877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154,877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152,297</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152,297</w:t>
            </w:r>
          </w:p>
        </w:tc>
      </w:tr>
      <w:tr w:rsidR="00DE1FAD"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ind w:firstLineChars="100" w:firstLine="14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237,544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247,449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247,449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245,820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245,820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46,389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51,256</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51,256</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56,139</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56,139</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149,617</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156,996</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156,996</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150,484</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150,484</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41,538</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39,197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39,197</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39,197</w:t>
            </w:r>
          </w:p>
        </w:tc>
      </w:tr>
      <w:tr w:rsidR="00DE1FAD"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5,106,316</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2,130,715</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7,237,031</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5,427,879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1,581,841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7,009,720</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5,505,118</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1,528,443</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7,033,561</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2,740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5,106,316</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2,100,695</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7,207,011</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5,427,879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1,552,804</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6,980,683</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5,505,118</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1,504,280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7,009,398</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27,280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26,297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26,297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21,423</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21,423</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152,463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158,453</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158,453</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158,453</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70,919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75,847</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75,847</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27,984</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53,560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54,622</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54,622</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54,622</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137,219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137,189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137,189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137,242</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137,242</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654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654</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577</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577</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E1FAD" w:rsidRPr="00CE0560" w:rsidRDefault="00DE1FAD" w:rsidP="00DE1FAD">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11,401</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157,103</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168,504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11,986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278,525</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290,511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11,218</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356,860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368,078</w:t>
            </w:r>
          </w:p>
        </w:tc>
      </w:tr>
      <w:tr w:rsidR="00DE1FAD"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DE1FAD">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E1FAD" w:rsidRPr="00341E8C" w:rsidRDefault="00DE1FAD" w:rsidP="000669AD">
            <w:pPr>
              <w:jc w:val="right"/>
              <w:rPr>
                <w:sz w:val="14"/>
                <w:szCs w:val="14"/>
              </w:rPr>
            </w:pPr>
          </w:p>
        </w:tc>
      </w:tr>
      <w:tr w:rsidR="00DE1FAD" w:rsidRPr="00CE0560" w:rsidTr="00192AC0">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6,109,773</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12,747,734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6,678,161</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5,910,744</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12,588,905</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b/>
                <w:bCs/>
                <w:sz w:val="14"/>
                <w:szCs w:val="14"/>
              </w:rPr>
            </w:pPr>
            <w:r>
              <w:rPr>
                <w:b/>
                <w:bCs/>
                <w:sz w:val="14"/>
                <w:szCs w:val="14"/>
              </w:rPr>
              <w:t>6,798,984</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b/>
                <w:bCs/>
                <w:sz w:val="14"/>
                <w:szCs w:val="14"/>
              </w:rPr>
            </w:pPr>
            <w:r>
              <w:rPr>
                <w:b/>
                <w:bCs/>
                <w:sz w:val="14"/>
                <w:szCs w:val="14"/>
              </w:rPr>
              <w:t>5,923,578</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0669AD">
            <w:pPr>
              <w:jc w:val="right"/>
              <w:rPr>
                <w:b/>
                <w:bCs/>
                <w:sz w:val="14"/>
                <w:szCs w:val="14"/>
              </w:rPr>
            </w:pPr>
            <w:r>
              <w:rPr>
                <w:b/>
                <w:bCs/>
                <w:sz w:val="14"/>
                <w:szCs w:val="14"/>
              </w:rPr>
              <w:t>12,722,562</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1,276,162</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1,376,651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1,376,651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1,393,104</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1,393,104</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99,900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26,210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684,845</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725,946</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725,946</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678,445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678,445</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465,107</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524,495</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524,495</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588,449</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588,449</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6,637,961</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6,678,161</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6,678,048</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6,798,984</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6,798,799</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6,637,823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6,678,048</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6,678,048</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6,798,799</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6,798,799</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(138)</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113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(113)</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(185)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r w:rsidRPr="00CE056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2,152,832</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1,970,119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1,970,119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1,985,776</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1,985,776</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754,464</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569,029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569,029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541,860</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541,860</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482,803</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513,481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513,481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575,186</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575,186</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811,439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782,181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782,181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762,401</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762,401</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104,126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105,428</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105,428</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106,329</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106,329</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844,908</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666,762</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666,762</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670,506</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670,506</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243,162</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231,951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231,951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239,903</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239,903</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72,219</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72,067</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72,067</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71,191</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71,191</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529,482</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362,661</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362,661</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359,231</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359,231</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83</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83</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181</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181</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b/>
                <w:bCs/>
                <w:sz w:val="14"/>
                <w:szCs w:val="14"/>
              </w:rPr>
            </w:pPr>
            <w:r w:rsidRPr="009D3F5B">
              <w:rPr>
                <w:rFonts w:asciiTheme="majorBidi" w:hAnsiTheme="majorBidi" w:cstheme="majorBidi"/>
                <w:b/>
                <w:bCs/>
                <w:sz w:val="14"/>
                <w:szCs w:val="14"/>
              </w:rPr>
              <w:t>1,630,310</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1,704,629</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b/>
                <w:bCs/>
                <w:sz w:val="14"/>
                <w:szCs w:val="14"/>
              </w:rPr>
            </w:pPr>
            <w:r>
              <w:rPr>
                <w:b/>
                <w:bCs/>
                <w:sz w:val="14"/>
                <w:szCs w:val="14"/>
              </w:rPr>
              <w:t>1,704,629</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1,683,635</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b/>
                <w:bCs/>
                <w:sz w:val="14"/>
                <w:szCs w:val="14"/>
              </w:rPr>
            </w:pPr>
            <w:r>
              <w:rPr>
                <w:b/>
                <w:bCs/>
                <w:sz w:val="14"/>
                <w:szCs w:val="14"/>
              </w:rPr>
              <w:t>1,683,635</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734,636</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724,953</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724,953</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712,936</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712,936</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228,747</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228,030</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228,030</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226,627</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226,627</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666,927</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751,646</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751,646</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744,072</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744,072</w:t>
            </w:r>
          </w:p>
        </w:tc>
      </w:tr>
      <w:tr w:rsidR="00DE1FAD" w:rsidRPr="00CE0560" w:rsidTr="00DE1FAD">
        <w:trPr>
          <w:trHeight w:val="144"/>
        </w:trPr>
        <w:tc>
          <w:tcPr>
            <w:tcW w:w="4320" w:type="dxa"/>
            <w:tcBorders>
              <w:top w:val="nil"/>
              <w:left w:val="nil"/>
              <w:bottom w:val="nil"/>
              <w:right w:val="nil"/>
            </w:tcBorders>
            <w:shd w:val="clear" w:color="auto" w:fill="auto"/>
            <w:noWrap/>
            <w:tcMar>
              <w:left w:w="29" w:type="dxa"/>
              <w:right w:w="29" w:type="dxa"/>
            </w:tcMar>
            <w:vAlign w:val="center"/>
          </w:tcPr>
          <w:p w:rsidR="00DE1FAD" w:rsidRPr="00C80418" w:rsidRDefault="00DE1FAD" w:rsidP="00DE1FA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r>
      <w:tr w:rsidR="00DE1FAD" w:rsidRPr="00CE0560" w:rsidTr="00DE1FAD">
        <w:trPr>
          <w:trHeight w:val="144"/>
        </w:trPr>
        <w:tc>
          <w:tcPr>
            <w:tcW w:w="4320" w:type="dxa"/>
            <w:tcBorders>
              <w:top w:val="nil"/>
              <w:left w:val="nil"/>
              <w:right w:val="nil"/>
            </w:tcBorders>
            <w:shd w:val="clear" w:color="auto" w:fill="auto"/>
            <w:noWrap/>
            <w:tcMar>
              <w:left w:w="29" w:type="dxa"/>
              <w:right w:w="29" w:type="dxa"/>
            </w:tcMar>
            <w:vAlign w:val="center"/>
          </w:tcPr>
          <w:p w:rsidR="00DE1FAD" w:rsidRPr="00C80418" w:rsidRDefault="00DE1FAD" w:rsidP="00DE1FAD">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w:t>
            </w:r>
          </w:p>
        </w:tc>
        <w:tc>
          <w:tcPr>
            <w:tcW w:w="630" w:type="dxa"/>
            <w:tcBorders>
              <w:top w:val="nil"/>
              <w:left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720" w:type="dxa"/>
            <w:tcBorders>
              <w:top w:val="nil"/>
              <w:left w:val="nil"/>
              <w:right w:val="nil"/>
            </w:tcBorders>
            <w:shd w:val="clear" w:color="auto" w:fill="auto"/>
            <w:noWrap/>
            <w:tcMar>
              <w:left w:w="29" w:type="dxa"/>
              <w:right w:w="29" w:type="dxa"/>
            </w:tcMar>
            <w:vAlign w:val="center"/>
          </w:tcPr>
          <w:p w:rsidR="00DE1FAD" w:rsidRPr="009D3F5B" w:rsidRDefault="00DE1FAD" w:rsidP="00DE1FAD">
            <w:pPr>
              <w:jc w:val="right"/>
              <w:rPr>
                <w:rFonts w:asciiTheme="majorBidi" w:hAnsiTheme="majorBidi" w:cstheme="majorBidi"/>
                <w:sz w:val="14"/>
                <w:szCs w:val="14"/>
              </w:rPr>
            </w:pPr>
            <w:r w:rsidRPr="009D3F5B">
              <w:rPr>
                <w:rFonts w:asciiTheme="majorBidi" w:hAnsiTheme="majorBidi" w:cstheme="majorBidi"/>
                <w:sz w:val="14"/>
                <w:szCs w:val="14"/>
              </w:rPr>
              <w:t>205,699</w:t>
            </w:r>
          </w:p>
        </w:tc>
        <w:tc>
          <w:tcPr>
            <w:tcW w:w="630" w:type="dxa"/>
            <w:tcBorders>
              <w:top w:val="nil"/>
              <w:left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192,696</w:t>
            </w:r>
          </w:p>
        </w:tc>
        <w:tc>
          <w:tcPr>
            <w:tcW w:w="720" w:type="dxa"/>
            <w:tcBorders>
              <w:top w:val="nil"/>
              <w:left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192,696</w:t>
            </w:r>
          </w:p>
        </w:tc>
        <w:tc>
          <w:tcPr>
            <w:tcW w:w="630" w:type="dxa"/>
            <w:tcBorders>
              <w:top w:val="nil"/>
              <w:left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190,742</w:t>
            </w:r>
          </w:p>
        </w:tc>
        <w:tc>
          <w:tcPr>
            <w:tcW w:w="720" w:type="dxa"/>
            <w:tcBorders>
              <w:top w:val="nil"/>
              <w:left w:val="nil"/>
              <w:right w:val="nil"/>
            </w:tcBorders>
            <w:shd w:val="clear" w:color="auto" w:fill="auto"/>
            <w:noWrap/>
            <w:tcMar>
              <w:left w:w="29" w:type="dxa"/>
              <w:right w:w="29" w:type="dxa"/>
            </w:tcMar>
            <w:vAlign w:val="bottom"/>
          </w:tcPr>
          <w:p w:rsidR="00DE1FAD" w:rsidRDefault="00DE1FAD" w:rsidP="000669AD">
            <w:pPr>
              <w:jc w:val="right"/>
              <w:rPr>
                <w:sz w:val="14"/>
                <w:szCs w:val="14"/>
              </w:rPr>
            </w:pPr>
            <w:r>
              <w:rPr>
                <w:sz w:val="14"/>
                <w:szCs w:val="14"/>
              </w:rPr>
              <w:t>190,742</w:t>
            </w:r>
          </w:p>
        </w:tc>
      </w:tr>
      <w:tr w:rsidR="00DE1FAD" w:rsidRPr="00CE0560" w:rsidTr="00EC0B06">
        <w:trPr>
          <w:trHeight w:val="173"/>
        </w:trPr>
        <w:tc>
          <w:tcPr>
            <w:tcW w:w="432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lef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63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c>
          <w:tcPr>
            <w:tcW w:w="720" w:type="dxa"/>
            <w:tcBorders>
              <w:top w:val="nil"/>
              <w:left w:val="nil"/>
              <w:bottom w:val="single" w:sz="8" w:space="0" w:color="auto"/>
              <w:right w:val="nil"/>
            </w:tcBorders>
            <w:shd w:val="clear" w:color="auto" w:fill="auto"/>
            <w:noWrap/>
            <w:tcMar>
              <w:left w:w="29" w:type="dxa"/>
              <w:right w:w="29" w:type="dxa"/>
            </w:tcMar>
            <w:vAlign w:val="center"/>
          </w:tcPr>
          <w:p w:rsidR="00DE1FAD" w:rsidRPr="00CE0560" w:rsidRDefault="00DE1FAD" w:rsidP="00DE1FAD">
            <w:pPr>
              <w:jc w:val="right"/>
              <w:rPr>
                <w:sz w:val="14"/>
                <w:szCs w:val="14"/>
              </w:rPr>
            </w:pPr>
          </w:p>
        </w:tc>
      </w:tr>
      <w:tr w:rsidR="00DE1FAD" w:rsidRPr="00CE0560" w:rsidTr="00EC0B06">
        <w:trPr>
          <w:trHeight w:val="173"/>
        </w:trPr>
        <w:tc>
          <w:tcPr>
            <w:tcW w:w="10350" w:type="dxa"/>
            <w:gridSpan w:val="10"/>
            <w:tcBorders>
              <w:top w:val="single" w:sz="8" w:space="0" w:color="auto"/>
              <w:left w:val="nil"/>
              <w:right w:val="nil"/>
            </w:tcBorders>
            <w:shd w:val="clear" w:color="auto" w:fill="auto"/>
            <w:noWrap/>
            <w:tcMar>
              <w:left w:w="29" w:type="dxa"/>
              <w:right w:w="29" w:type="dxa"/>
            </w:tcMar>
            <w:vAlign w:val="center"/>
          </w:tcPr>
          <w:p w:rsidR="00DE1FAD" w:rsidRDefault="00DE1FAD" w:rsidP="00DE1FAD">
            <w:pPr>
              <w:jc w:val="right"/>
              <w:rPr>
                <w:sz w:val="14"/>
                <w:szCs w:val="14"/>
              </w:rPr>
            </w:pPr>
            <w:r>
              <w:rPr>
                <w:sz w:val="14"/>
                <w:szCs w:val="14"/>
              </w:rPr>
              <w:t>Source: Finance Department SBP</w:t>
            </w:r>
          </w:p>
          <w:p w:rsidR="00DE1FAD" w:rsidRPr="00CE0560" w:rsidRDefault="00DE1FAD" w:rsidP="00DE1FAD">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C80418" w:rsidRDefault="00C80418" w:rsidP="0069571C">
      <w:pPr>
        <w:jc w:val="left"/>
        <w:rPr>
          <w:color w:val="auto"/>
        </w:rPr>
      </w:pPr>
    </w:p>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FC1C33" w:rsidRPr="00B34F49" w:rsidTr="00E41B73">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FC1C33" w:rsidRPr="005249C8" w:rsidRDefault="00FC1C33"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FC1C33" w:rsidRPr="00AB7A08" w:rsidRDefault="00FC1C33"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Pr>
                <w:b/>
                <w:bCs/>
                <w:color w:val="auto"/>
                <w:szCs w:val="16"/>
              </w:rPr>
              <w:t>FY20</w:t>
            </w:r>
          </w:p>
        </w:tc>
        <w:tc>
          <w:tcPr>
            <w:tcW w:w="303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FC1C33" w:rsidRPr="006619BF" w:rsidRDefault="00FC1C33" w:rsidP="003A5015">
            <w:pPr>
              <w:rPr>
                <w:b/>
                <w:bCs/>
                <w:color w:val="auto"/>
                <w:szCs w:val="16"/>
              </w:rPr>
            </w:pPr>
            <w:r>
              <w:rPr>
                <w:b/>
                <w:bCs/>
                <w:color w:val="auto"/>
                <w:szCs w:val="16"/>
              </w:rPr>
              <w:t>2020</w:t>
            </w:r>
          </w:p>
        </w:tc>
        <w:tc>
          <w:tcPr>
            <w:tcW w:w="1601" w:type="dxa"/>
            <w:gridSpan w:val="2"/>
            <w:tcBorders>
              <w:top w:val="single" w:sz="12" w:space="0" w:color="auto"/>
              <w:left w:val="single" w:sz="4" w:space="0" w:color="auto"/>
              <w:bottom w:val="single" w:sz="4" w:space="0" w:color="auto"/>
              <w:right w:val="nil"/>
            </w:tcBorders>
            <w:shd w:val="clear" w:color="auto" w:fill="auto"/>
            <w:vAlign w:val="center"/>
          </w:tcPr>
          <w:p w:rsidR="00FC1C33" w:rsidRPr="006619BF" w:rsidRDefault="00FC1C33" w:rsidP="003A5015">
            <w:pPr>
              <w:rPr>
                <w:b/>
                <w:bCs/>
                <w:color w:val="auto"/>
                <w:szCs w:val="16"/>
              </w:rPr>
            </w:pPr>
            <w:r>
              <w:rPr>
                <w:b/>
                <w:bCs/>
                <w:color w:val="auto"/>
                <w:szCs w:val="16"/>
              </w:rPr>
              <w:t>2021</w:t>
            </w:r>
          </w:p>
        </w:tc>
      </w:tr>
      <w:tr w:rsidR="00FC1C33" w:rsidRPr="00F06977" w:rsidTr="00E41B73">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FC1C33" w:rsidRPr="00273A44" w:rsidRDefault="00FC1C33" w:rsidP="00FC1C33">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C1C33" w:rsidRPr="006619BF" w:rsidRDefault="00FC1C33" w:rsidP="00FC1C3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1C33" w:rsidRPr="006619BF" w:rsidRDefault="00FC1C33" w:rsidP="00FC1C33">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1C33" w:rsidRPr="006619BF" w:rsidRDefault="00FC1C33" w:rsidP="00FC1C33">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1C33" w:rsidRPr="006619BF" w:rsidRDefault="00FC1C33" w:rsidP="00FC1C33">
            <w:pPr>
              <w:jc w:val="right"/>
              <w:rPr>
                <w:b/>
                <w:color w:val="auto"/>
                <w:sz w:val="14"/>
                <w:szCs w:val="14"/>
              </w:rPr>
            </w:pPr>
            <w:r>
              <w:rPr>
                <w:b/>
                <w:color w:val="auto"/>
                <w:sz w:val="14"/>
                <w:szCs w:val="14"/>
              </w:rPr>
              <w:t>Jan</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C1C33" w:rsidRPr="006619BF" w:rsidRDefault="00FC1C33" w:rsidP="00FC1C33">
            <w:pPr>
              <w:jc w:val="right"/>
              <w:rPr>
                <w:b/>
                <w:color w:val="auto"/>
                <w:sz w:val="14"/>
                <w:szCs w:val="14"/>
              </w:rPr>
            </w:pPr>
            <w:r>
              <w:rPr>
                <w:b/>
                <w:color w:val="auto"/>
                <w:sz w:val="14"/>
                <w:szCs w:val="14"/>
              </w:rPr>
              <w:t>Feb</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1C33" w:rsidRPr="006619BF" w:rsidRDefault="00FC1C33" w:rsidP="00FC1C33">
            <w:pPr>
              <w:jc w:val="right"/>
              <w:rPr>
                <w:b/>
                <w:color w:val="auto"/>
                <w:sz w:val="14"/>
                <w:szCs w:val="14"/>
              </w:rPr>
            </w:pPr>
            <w:r>
              <w:rPr>
                <w:b/>
                <w:color w:val="auto"/>
                <w:sz w:val="14"/>
                <w:szCs w:val="14"/>
              </w:rPr>
              <w:t>Nov</w:t>
            </w:r>
          </w:p>
        </w:tc>
        <w:tc>
          <w:tcPr>
            <w:tcW w:w="76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C1C33" w:rsidRPr="006619BF" w:rsidRDefault="00FC1C33" w:rsidP="00FC1C33">
            <w:pPr>
              <w:jc w:val="right"/>
              <w:rPr>
                <w:b/>
                <w:color w:val="auto"/>
                <w:sz w:val="14"/>
                <w:szCs w:val="14"/>
              </w:rPr>
            </w:pPr>
            <w:r>
              <w:rPr>
                <w:b/>
                <w:color w:val="auto"/>
                <w:sz w:val="14"/>
                <w:szCs w:val="14"/>
              </w:rPr>
              <w:t>Dec</w:t>
            </w:r>
          </w:p>
        </w:tc>
        <w:tc>
          <w:tcPr>
            <w:tcW w:w="85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C1C33" w:rsidRPr="006619BF" w:rsidRDefault="00FC1C33" w:rsidP="00FC1C33">
            <w:pPr>
              <w:jc w:val="right"/>
              <w:rPr>
                <w:b/>
                <w:color w:val="auto"/>
                <w:sz w:val="14"/>
                <w:szCs w:val="14"/>
              </w:rPr>
            </w:pPr>
            <w:r>
              <w:rPr>
                <w:b/>
                <w:color w:val="auto"/>
                <w:sz w:val="14"/>
                <w:szCs w:val="14"/>
              </w:rPr>
              <w:t>Jan</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FC1C33" w:rsidRPr="006619BF" w:rsidRDefault="00FC1C33" w:rsidP="00FC1C33">
            <w:pPr>
              <w:jc w:val="right"/>
              <w:rPr>
                <w:b/>
                <w:color w:val="auto"/>
                <w:sz w:val="14"/>
                <w:szCs w:val="14"/>
              </w:rPr>
            </w:pPr>
            <w:r>
              <w:rPr>
                <w:b/>
                <w:color w:val="auto"/>
                <w:sz w:val="14"/>
                <w:szCs w:val="14"/>
              </w:rPr>
              <w:t>Feb</w:t>
            </w:r>
          </w:p>
        </w:tc>
      </w:tr>
      <w:tr w:rsidR="00FC1C33"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FC1C33" w:rsidRPr="00B34F49" w:rsidRDefault="00FC1C33" w:rsidP="00FC1C33">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FC1C33" w:rsidRPr="00B34F49" w:rsidRDefault="00FC1C33" w:rsidP="00FC1C33">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FC1C33" w:rsidRPr="002C2345" w:rsidRDefault="00FC1C33" w:rsidP="00FC1C33">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FC1C33" w:rsidRPr="002C2345" w:rsidRDefault="00FC1C33" w:rsidP="00FC1C33">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FC1C33" w:rsidRPr="002C2345" w:rsidRDefault="00FC1C33" w:rsidP="00FC1C33">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FC1C33" w:rsidRPr="002C2345" w:rsidRDefault="00FC1C33" w:rsidP="00FC1C33">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FC1C33" w:rsidRPr="002C2345" w:rsidRDefault="00FC1C33" w:rsidP="00FC1C33">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FC1C33" w:rsidRPr="002C2345" w:rsidRDefault="00FC1C33" w:rsidP="00FC1C33">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FC1C33" w:rsidRPr="002C2345" w:rsidRDefault="00FC1C33" w:rsidP="00FC1C33">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FC1C33" w:rsidRPr="002C2345" w:rsidRDefault="00FC1C33" w:rsidP="00FC1C33">
            <w:pPr>
              <w:jc w:val="right"/>
              <w:rPr>
                <w:sz w:val="14"/>
                <w:szCs w:val="14"/>
              </w:rPr>
            </w:pP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1,408,559</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1,345,941</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1,313,026</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1,458,362</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1,634,529</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1,546,258</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1,498,563</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212,150</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239,179</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215,711</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269,588</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296,780</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290,904</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286,782</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843,513</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1,039,998</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980,631</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917,652</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1,028,259</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938,893</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851,604</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10,681,288</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8,366,193</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8,725,394</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11,039,005</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11,490,316</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11,419,399</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11,579,433</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7,655,531</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7,638,612</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7,690,426</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7,547,778</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7,708,588</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7,868,043</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7,916,627</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8,202,328</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8,164,047</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8,212,064</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8,144,494</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8,305,736</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8,473,992</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8,527,707</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546,797</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525,435</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521,639</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596,716</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597,148</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605,950</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611,081</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567,753</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558,965</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558,957</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584,547</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589,730</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607,142</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610,847</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56,161</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55,395</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56,659</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63,591</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64,647</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65,982</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69,490</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950,083</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828,205</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856,231</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910,531</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925,092</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824,248</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849,570</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22,375,037</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b/>
                <w:bCs/>
                <w:sz w:val="14"/>
                <w:szCs w:val="14"/>
              </w:rPr>
            </w:pPr>
            <w:r>
              <w:rPr>
                <w:b/>
                <w:bCs/>
                <w:sz w:val="14"/>
                <w:szCs w:val="14"/>
              </w:rPr>
              <w:t>20,072,489</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20,397,034</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22,791,053</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23,737,941</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23,560,869</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23,662,915</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20"/>
              </w:rPr>
            </w:pP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20"/>
              </w:rPr>
            </w:pP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20"/>
              </w:rPr>
            </w:pP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20"/>
              </w:rPr>
            </w:pP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245,363</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216,669</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232,611</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267,196</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286,261</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273,571</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287,177</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2,865,768</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2,518,386</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2,604,182</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2,925,622</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3,297,771</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3,210,203</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3,217,444</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16,229,036</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14,672,801</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14,815,095</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16,595,228</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17,136,229</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17,088,144</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17,189,667</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126,296</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126,718</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126,595</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121,857</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121,854</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121,853</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111,871</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2,134</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2,209</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2,247</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2,020</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1,941</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1,914</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1,889</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47,329</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32,801</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37,649</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33,426</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33,036</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32,567</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32,544</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964,493</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847,360</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881,983</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985,613</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979,770</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908,391</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942,005</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20,480,420</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b/>
                <w:bCs/>
                <w:sz w:val="14"/>
                <w:szCs w:val="14"/>
              </w:rPr>
            </w:pPr>
            <w:r>
              <w:rPr>
                <w:b/>
                <w:bCs/>
                <w:sz w:val="14"/>
                <w:szCs w:val="14"/>
              </w:rPr>
              <w:t>18,416,943</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18,700,362</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20,930,963</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21,856,862</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21,636,644</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21,782,597</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1,894,617</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b/>
                <w:bCs/>
                <w:sz w:val="14"/>
                <w:szCs w:val="14"/>
              </w:rPr>
            </w:pPr>
            <w:r>
              <w:rPr>
                <w:b/>
                <w:bCs/>
                <w:sz w:val="14"/>
                <w:szCs w:val="14"/>
              </w:rPr>
              <w:t>1,655,546</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1,696,672</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1,860,091</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1,881,079</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1,924,224</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1,880,318</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b/>
                <w:bCs/>
                <w:sz w:val="14"/>
                <w:szCs w:val="14"/>
              </w:rPr>
            </w:pP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20"/>
              </w:rPr>
            </w:pP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rFonts w:ascii="Calibri" w:hAnsi="Calibri"/>
                <w:sz w:val="22"/>
                <w:szCs w:val="22"/>
              </w:rPr>
            </w:pP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20"/>
              </w:rPr>
            </w:pP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20"/>
              </w:rPr>
            </w:pP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20"/>
              </w:rPr>
            </w:pP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556,465</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557,394</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553,485</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556,485</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556,656</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560,195</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562,100</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357,675</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332,544</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333,977</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365,130</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365,549</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365,310</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369,551</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618,864</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547,646</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595,116</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688,511</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709,444</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743,590</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709,082</w:t>
            </w:r>
          </w:p>
        </w:tc>
      </w:tr>
      <w:tr w:rsidR="0000309A"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00309A" w:rsidRPr="00B34F49" w:rsidRDefault="0000309A" w:rsidP="0000309A">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361,613</w:t>
            </w:r>
          </w:p>
        </w:tc>
        <w:tc>
          <w:tcPr>
            <w:tcW w:w="830" w:type="dxa"/>
            <w:tcBorders>
              <w:top w:val="nil"/>
              <w:left w:val="nil"/>
              <w:bottom w:val="nil"/>
              <w:right w:val="nil"/>
            </w:tcBorders>
            <w:shd w:val="clear" w:color="auto" w:fill="auto"/>
            <w:tcMar>
              <w:left w:w="43" w:type="dxa"/>
              <w:right w:w="43" w:type="dxa"/>
            </w:tcMar>
            <w:vAlign w:val="bottom"/>
            <w:hideMark/>
          </w:tcPr>
          <w:p w:rsidR="0000309A" w:rsidRDefault="0000309A" w:rsidP="0000309A">
            <w:pPr>
              <w:jc w:val="right"/>
              <w:rPr>
                <w:sz w:val="14"/>
                <w:szCs w:val="14"/>
              </w:rPr>
            </w:pPr>
            <w:r>
              <w:rPr>
                <w:sz w:val="14"/>
                <w:szCs w:val="14"/>
              </w:rPr>
              <w:t>217,962</w:t>
            </w:r>
          </w:p>
        </w:tc>
        <w:tc>
          <w:tcPr>
            <w:tcW w:w="716"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214,094</w:t>
            </w:r>
          </w:p>
        </w:tc>
        <w:tc>
          <w:tcPr>
            <w:tcW w:w="724" w:type="dxa"/>
            <w:tcBorders>
              <w:top w:val="nil"/>
              <w:left w:val="nil"/>
              <w:bottom w:val="nil"/>
              <w:right w:val="nil"/>
            </w:tcBorders>
            <w:shd w:val="clear" w:color="auto" w:fill="auto"/>
            <w:tcMar>
              <w:left w:w="43" w:type="dxa"/>
              <w:right w:w="43" w:type="dxa"/>
            </w:tcMar>
            <w:vAlign w:val="center"/>
            <w:hideMark/>
          </w:tcPr>
          <w:p w:rsidR="0000309A" w:rsidRDefault="0000309A" w:rsidP="0000309A">
            <w:pPr>
              <w:jc w:val="right"/>
              <w:rPr>
                <w:sz w:val="14"/>
                <w:szCs w:val="14"/>
              </w:rPr>
            </w:pPr>
            <w:r>
              <w:rPr>
                <w:sz w:val="14"/>
                <w:szCs w:val="14"/>
              </w:rPr>
              <w:t>249,965</w:t>
            </w:r>
          </w:p>
        </w:tc>
        <w:tc>
          <w:tcPr>
            <w:tcW w:w="767" w:type="dxa"/>
            <w:tcBorders>
              <w:top w:val="nil"/>
              <w:left w:val="nil"/>
              <w:bottom w:val="nil"/>
              <w:right w:val="nil"/>
            </w:tcBorders>
            <w:shd w:val="clear" w:color="auto" w:fill="auto"/>
            <w:tcMar>
              <w:left w:w="43" w:type="dxa"/>
              <w:right w:w="43" w:type="dxa"/>
            </w:tcMar>
            <w:vAlign w:val="center"/>
          </w:tcPr>
          <w:p w:rsidR="0000309A" w:rsidRDefault="0000309A" w:rsidP="0000309A">
            <w:pPr>
              <w:jc w:val="right"/>
              <w:rPr>
                <w:sz w:val="14"/>
                <w:szCs w:val="14"/>
              </w:rPr>
            </w:pPr>
            <w:r>
              <w:rPr>
                <w:sz w:val="14"/>
                <w:szCs w:val="14"/>
              </w:rPr>
              <w:t>249,431</w:t>
            </w:r>
          </w:p>
        </w:tc>
        <w:tc>
          <w:tcPr>
            <w:tcW w:w="851"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255,129</w:t>
            </w:r>
          </w:p>
        </w:tc>
        <w:tc>
          <w:tcPr>
            <w:tcW w:w="750" w:type="dxa"/>
            <w:tcBorders>
              <w:top w:val="nil"/>
              <w:left w:val="nil"/>
              <w:bottom w:val="nil"/>
              <w:right w:val="nil"/>
            </w:tcBorders>
            <w:shd w:val="clear" w:color="auto" w:fill="auto"/>
            <w:tcMar>
              <w:left w:w="43" w:type="dxa"/>
              <w:right w:w="43" w:type="dxa"/>
            </w:tcMar>
            <w:vAlign w:val="bottom"/>
          </w:tcPr>
          <w:p w:rsidR="0000309A" w:rsidRDefault="0000309A" w:rsidP="0000309A">
            <w:pPr>
              <w:jc w:val="right"/>
              <w:rPr>
                <w:sz w:val="14"/>
                <w:szCs w:val="14"/>
              </w:rPr>
            </w:pPr>
            <w:r>
              <w:rPr>
                <w:sz w:val="14"/>
                <w:szCs w:val="14"/>
              </w:rPr>
              <w:t>239,585</w:t>
            </w:r>
          </w:p>
        </w:tc>
      </w:tr>
      <w:tr w:rsidR="0000309A" w:rsidRPr="00B34F49" w:rsidTr="00E41B7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00309A" w:rsidRPr="00B34F49" w:rsidRDefault="0000309A" w:rsidP="0000309A">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1,894,617</w:t>
            </w:r>
          </w:p>
        </w:tc>
        <w:tc>
          <w:tcPr>
            <w:tcW w:w="830" w:type="dxa"/>
            <w:tcBorders>
              <w:top w:val="nil"/>
              <w:left w:val="nil"/>
              <w:bottom w:val="single" w:sz="12" w:space="0" w:color="auto"/>
              <w:right w:val="nil"/>
            </w:tcBorders>
            <w:shd w:val="clear" w:color="auto" w:fill="auto"/>
            <w:tcMar>
              <w:left w:w="43" w:type="dxa"/>
              <w:right w:w="43" w:type="dxa"/>
            </w:tcMar>
            <w:vAlign w:val="bottom"/>
            <w:hideMark/>
          </w:tcPr>
          <w:p w:rsidR="0000309A" w:rsidRDefault="0000309A" w:rsidP="0000309A">
            <w:pPr>
              <w:jc w:val="right"/>
              <w:rPr>
                <w:b/>
                <w:bCs/>
                <w:sz w:val="14"/>
                <w:szCs w:val="14"/>
              </w:rPr>
            </w:pPr>
            <w:r>
              <w:rPr>
                <w:b/>
                <w:bCs/>
                <w:sz w:val="14"/>
                <w:szCs w:val="14"/>
              </w:rPr>
              <w:t>1,655,546</w:t>
            </w:r>
          </w:p>
        </w:tc>
        <w:tc>
          <w:tcPr>
            <w:tcW w:w="716" w:type="dxa"/>
            <w:tcBorders>
              <w:top w:val="nil"/>
              <w:left w:val="nil"/>
              <w:bottom w:val="single" w:sz="12" w:space="0" w:color="auto"/>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1,696,672</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00309A" w:rsidRDefault="0000309A" w:rsidP="0000309A">
            <w:pPr>
              <w:jc w:val="right"/>
              <w:rPr>
                <w:b/>
                <w:bCs/>
                <w:sz w:val="14"/>
                <w:szCs w:val="14"/>
              </w:rPr>
            </w:pPr>
            <w:r>
              <w:rPr>
                <w:b/>
                <w:bCs/>
                <w:sz w:val="14"/>
                <w:szCs w:val="14"/>
              </w:rPr>
              <w:t>1,860,091</w:t>
            </w:r>
          </w:p>
        </w:tc>
        <w:tc>
          <w:tcPr>
            <w:tcW w:w="767" w:type="dxa"/>
            <w:tcBorders>
              <w:top w:val="nil"/>
              <w:left w:val="nil"/>
              <w:bottom w:val="single" w:sz="12" w:space="0" w:color="auto"/>
              <w:right w:val="nil"/>
            </w:tcBorders>
            <w:shd w:val="clear" w:color="auto" w:fill="auto"/>
            <w:tcMar>
              <w:left w:w="43" w:type="dxa"/>
              <w:right w:w="43" w:type="dxa"/>
            </w:tcMar>
            <w:vAlign w:val="center"/>
          </w:tcPr>
          <w:p w:rsidR="0000309A" w:rsidRDefault="0000309A" w:rsidP="0000309A">
            <w:pPr>
              <w:jc w:val="right"/>
              <w:rPr>
                <w:b/>
                <w:bCs/>
                <w:sz w:val="14"/>
                <w:szCs w:val="14"/>
              </w:rPr>
            </w:pPr>
            <w:r>
              <w:rPr>
                <w:b/>
                <w:bCs/>
                <w:sz w:val="14"/>
                <w:szCs w:val="14"/>
              </w:rPr>
              <w:t>1,881,079</w:t>
            </w:r>
          </w:p>
        </w:tc>
        <w:tc>
          <w:tcPr>
            <w:tcW w:w="851" w:type="dxa"/>
            <w:tcBorders>
              <w:top w:val="nil"/>
              <w:left w:val="nil"/>
              <w:bottom w:val="single" w:sz="12" w:space="0" w:color="auto"/>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1,924,224</w:t>
            </w:r>
          </w:p>
        </w:tc>
        <w:tc>
          <w:tcPr>
            <w:tcW w:w="750" w:type="dxa"/>
            <w:tcBorders>
              <w:top w:val="nil"/>
              <w:left w:val="nil"/>
              <w:bottom w:val="single" w:sz="12" w:space="0" w:color="auto"/>
              <w:right w:val="nil"/>
            </w:tcBorders>
            <w:shd w:val="clear" w:color="auto" w:fill="auto"/>
            <w:tcMar>
              <w:left w:w="43" w:type="dxa"/>
              <w:right w:w="43" w:type="dxa"/>
            </w:tcMar>
            <w:vAlign w:val="bottom"/>
          </w:tcPr>
          <w:p w:rsidR="0000309A" w:rsidRDefault="0000309A" w:rsidP="0000309A">
            <w:pPr>
              <w:jc w:val="right"/>
              <w:rPr>
                <w:b/>
                <w:bCs/>
                <w:sz w:val="14"/>
                <w:szCs w:val="14"/>
              </w:rPr>
            </w:pPr>
            <w:r>
              <w:rPr>
                <w:b/>
                <w:bCs/>
                <w:sz w:val="14"/>
                <w:szCs w:val="14"/>
              </w:rPr>
              <w:t>1,880,318</w:t>
            </w:r>
          </w:p>
        </w:tc>
      </w:tr>
      <w:tr w:rsidR="00FC1C33"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FC1C33" w:rsidRDefault="00FC1C33" w:rsidP="00FC1C33">
            <w:pPr>
              <w:jc w:val="right"/>
              <w:rPr>
                <w:color w:val="auto"/>
                <w:sz w:val="14"/>
                <w:szCs w:val="16"/>
              </w:rPr>
            </w:pPr>
            <w:r w:rsidRPr="00B34F49">
              <w:rPr>
                <w:color w:val="auto"/>
                <w:sz w:val="14"/>
                <w:szCs w:val="16"/>
              </w:rPr>
              <w:t>Source: Off-Site Supervision &amp; Enforcement Department SBP</w:t>
            </w:r>
          </w:p>
          <w:p w:rsidR="00FC1C33" w:rsidRPr="00B34F49" w:rsidRDefault="00FC1C33" w:rsidP="00FC1C33">
            <w:pPr>
              <w:jc w:val="left"/>
              <w:rPr>
                <w:b/>
                <w:bCs/>
                <w:sz w:val="14"/>
                <w:szCs w:val="14"/>
              </w:rPr>
            </w:pPr>
            <w:r>
              <w:rPr>
                <w:color w:val="auto"/>
                <w:sz w:val="14"/>
                <w:szCs w:val="14"/>
              </w:rPr>
              <w:t>Note: Figures pertain to last week end of every month</w:t>
            </w:r>
          </w:p>
        </w:tc>
      </w:tr>
      <w:tr w:rsidR="00FC1C33"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FC1C33" w:rsidRPr="00B34F49" w:rsidRDefault="00FC1C33" w:rsidP="00FC1C33">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E41B73" w:rsidRPr="00B34F49" w:rsidTr="00E41B73">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E41B73" w:rsidRPr="00B34F49" w:rsidRDefault="00E41B73" w:rsidP="00FC1C3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E41B73" w:rsidRPr="00AB7A08" w:rsidRDefault="00E41B73" w:rsidP="00FC1C33">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E41B73" w:rsidRPr="00AB7A08" w:rsidRDefault="00E41B73" w:rsidP="00FC1C33">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E41B73" w:rsidRPr="00AB7A08" w:rsidRDefault="00E41B73" w:rsidP="00FC1C33">
            <w:pPr>
              <w:jc w:val="right"/>
              <w:rPr>
                <w:b/>
                <w:bCs/>
                <w:color w:val="auto"/>
                <w:szCs w:val="16"/>
              </w:rPr>
            </w:pPr>
            <w:r>
              <w:rPr>
                <w:b/>
                <w:bCs/>
                <w:color w:val="auto"/>
                <w:szCs w:val="16"/>
              </w:rPr>
              <w:t>FY20</w:t>
            </w:r>
          </w:p>
        </w:tc>
        <w:tc>
          <w:tcPr>
            <w:tcW w:w="830" w:type="dxa"/>
            <w:tcBorders>
              <w:top w:val="single" w:sz="12" w:space="0" w:color="auto"/>
              <w:left w:val="single" w:sz="4" w:space="0" w:color="auto"/>
              <w:bottom w:val="single" w:sz="4" w:space="0" w:color="auto"/>
              <w:right w:val="single" w:sz="4" w:space="0" w:color="auto"/>
            </w:tcBorders>
            <w:shd w:val="clear" w:color="auto" w:fill="auto"/>
            <w:vAlign w:val="center"/>
          </w:tcPr>
          <w:p w:rsidR="00E41B73" w:rsidRPr="006619BF" w:rsidRDefault="00E41B73" w:rsidP="00FC1C33">
            <w:pPr>
              <w:rPr>
                <w:b/>
                <w:bCs/>
                <w:color w:val="auto"/>
                <w:szCs w:val="16"/>
              </w:rPr>
            </w:pPr>
            <w:r>
              <w:rPr>
                <w:b/>
                <w:bCs/>
                <w:color w:val="auto"/>
                <w:szCs w:val="16"/>
              </w:rPr>
              <w:t>2019</w:t>
            </w:r>
          </w:p>
        </w:tc>
        <w:tc>
          <w:tcPr>
            <w:tcW w:w="3058"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41B73" w:rsidRPr="006619BF" w:rsidRDefault="00E41B73" w:rsidP="00FC1C33">
            <w:pPr>
              <w:rPr>
                <w:b/>
                <w:bCs/>
                <w:color w:val="auto"/>
                <w:szCs w:val="16"/>
              </w:rPr>
            </w:pPr>
            <w:r>
              <w:rPr>
                <w:b/>
                <w:bCs/>
                <w:color w:val="auto"/>
                <w:szCs w:val="16"/>
              </w:rPr>
              <w:t>2020</w:t>
            </w:r>
          </w:p>
        </w:tc>
        <w:tc>
          <w:tcPr>
            <w:tcW w:w="750" w:type="dxa"/>
            <w:tcBorders>
              <w:top w:val="single" w:sz="12" w:space="0" w:color="auto"/>
              <w:left w:val="single" w:sz="4" w:space="0" w:color="auto"/>
              <w:bottom w:val="single" w:sz="4" w:space="0" w:color="auto"/>
              <w:right w:val="nil"/>
            </w:tcBorders>
            <w:shd w:val="clear" w:color="auto" w:fill="auto"/>
            <w:vAlign w:val="center"/>
          </w:tcPr>
          <w:p w:rsidR="00E41B73" w:rsidRPr="006619BF" w:rsidRDefault="00E41B73" w:rsidP="00FC1C33">
            <w:pPr>
              <w:rPr>
                <w:b/>
                <w:bCs/>
                <w:color w:val="auto"/>
                <w:szCs w:val="16"/>
              </w:rPr>
            </w:pPr>
            <w:r>
              <w:rPr>
                <w:b/>
                <w:bCs/>
                <w:color w:val="auto"/>
                <w:szCs w:val="16"/>
              </w:rPr>
              <w:t>2021</w:t>
            </w:r>
          </w:p>
        </w:tc>
      </w:tr>
      <w:tr w:rsidR="00E41B73" w:rsidRPr="00B34F49" w:rsidTr="00E41B73">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E41B73" w:rsidRPr="00B34F49" w:rsidRDefault="00E41B73" w:rsidP="00E41B7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1B73" w:rsidRPr="006619BF" w:rsidRDefault="00E41B73" w:rsidP="00E41B7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1B73" w:rsidRPr="006619BF" w:rsidRDefault="00E41B73" w:rsidP="00E41B73">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41B73" w:rsidRPr="006619BF" w:rsidRDefault="00E41B73" w:rsidP="00E41B73">
            <w:pPr>
              <w:jc w:val="right"/>
              <w:rPr>
                <w:b/>
                <w:bCs/>
                <w:color w:val="auto"/>
                <w:sz w:val="14"/>
                <w:szCs w:val="14"/>
              </w:rPr>
            </w:pPr>
          </w:p>
        </w:tc>
        <w:tc>
          <w:tcPr>
            <w:tcW w:w="8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41B73" w:rsidRPr="006619BF" w:rsidRDefault="00E41B73" w:rsidP="00E41B73">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41B73" w:rsidRPr="006619BF" w:rsidRDefault="00E41B73" w:rsidP="00E41B73">
            <w:pPr>
              <w:jc w:val="right"/>
              <w:rPr>
                <w:b/>
                <w:color w:val="auto"/>
                <w:sz w:val="14"/>
                <w:szCs w:val="14"/>
              </w:rPr>
            </w:pPr>
            <w:r>
              <w:rPr>
                <w:b/>
                <w:color w:val="auto"/>
                <w:sz w:val="14"/>
                <w:szCs w:val="14"/>
              </w:rPr>
              <w:t>Jan</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41B73" w:rsidRPr="006619BF" w:rsidRDefault="00E41B73" w:rsidP="00E41B73">
            <w:pPr>
              <w:jc w:val="right"/>
              <w:rPr>
                <w:b/>
                <w:color w:val="auto"/>
                <w:sz w:val="14"/>
                <w:szCs w:val="14"/>
              </w:rPr>
            </w:pPr>
            <w:r>
              <w:rPr>
                <w:b/>
                <w:color w:val="auto"/>
                <w:sz w:val="14"/>
                <w:szCs w:val="14"/>
              </w:rPr>
              <w:t>Oct</w:t>
            </w:r>
          </w:p>
        </w:tc>
        <w:tc>
          <w:tcPr>
            <w:tcW w:w="767" w:type="dxa"/>
            <w:tcBorders>
              <w:top w:val="single" w:sz="4" w:space="0" w:color="auto"/>
              <w:bottom w:val="single" w:sz="12" w:space="0" w:color="auto"/>
            </w:tcBorders>
            <w:shd w:val="clear" w:color="auto" w:fill="auto"/>
            <w:noWrap/>
            <w:tcMar>
              <w:left w:w="43" w:type="dxa"/>
              <w:right w:w="43" w:type="dxa"/>
            </w:tcMar>
            <w:vAlign w:val="center"/>
          </w:tcPr>
          <w:p w:rsidR="00E41B73" w:rsidRPr="006619BF" w:rsidRDefault="00E41B73" w:rsidP="00E41B73">
            <w:pPr>
              <w:jc w:val="right"/>
              <w:rPr>
                <w:b/>
                <w:color w:val="auto"/>
                <w:sz w:val="14"/>
                <w:szCs w:val="14"/>
              </w:rPr>
            </w:pPr>
            <w:r>
              <w:rPr>
                <w:b/>
                <w:color w:val="auto"/>
                <w:sz w:val="14"/>
                <w:szCs w:val="14"/>
              </w:rPr>
              <w:t>Nov</w:t>
            </w:r>
          </w:p>
        </w:tc>
        <w:tc>
          <w:tcPr>
            <w:tcW w:w="851"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41B73" w:rsidRPr="006619BF" w:rsidRDefault="00E41B73" w:rsidP="00E41B73">
            <w:pPr>
              <w:jc w:val="right"/>
              <w:rPr>
                <w:b/>
                <w:color w:val="auto"/>
                <w:sz w:val="14"/>
                <w:szCs w:val="14"/>
              </w:rPr>
            </w:pPr>
            <w:r>
              <w:rPr>
                <w:b/>
                <w:color w:val="auto"/>
                <w:sz w:val="14"/>
                <w:szCs w:val="14"/>
              </w:rPr>
              <w:t>Dec</w:t>
            </w:r>
          </w:p>
        </w:tc>
        <w:tc>
          <w:tcPr>
            <w:tcW w:w="75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41B73" w:rsidRPr="006619BF" w:rsidRDefault="00E41B73" w:rsidP="00E41B73">
            <w:pPr>
              <w:jc w:val="right"/>
              <w:rPr>
                <w:b/>
                <w:color w:val="auto"/>
                <w:sz w:val="14"/>
                <w:szCs w:val="14"/>
              </w:rPr>
            </w:pPr>
            <w:r>
              <w:rPr>
                <w:b/>
                <w:color w:val="auto"/>
                <w:sz w:val="14"/>
                <w:szCs w:val="14"/>
              </w:rPr>
              <w:t>Jan</w:t>
            </w:r>
          </w:p>
        </w:tc>
      </w:tr>
      <w:tr w:rsidR="00E41B73" w:rsidRPr="00B34F49" w:rsidTr="00E41B73">
        <w:trPr>
          <w:trHeight w:hRule="exact" w:val="327"/>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14,142,999</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12,720,734</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12,286,764</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14,498,836</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14,507,332</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15,097,823</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14,611,693</w:t>
            </w:r>
          </w:p>
        </w:tc>
      </w:tr>
      <w:tr w:rsidR="00E41B73" w:rsidRPr="00B34F49" w:rsidTr="00E41B73">
        <w:trPr>
          <w:trHeight w:hRule="exact" w:val="324"/>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1,791,929</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1,706,097</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1,779,676</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1,835,541</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1,793,154</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1,778,170</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1,821,598</w:t>
            </w:r>
          </w:p>
        </w:tc>
      </w:tr>
      <w:tr w:rsidR="00E41B73" w:rsidRPr="00B34F49" w:rsidTr="00E41B73">
        <w:trPr>
          <w:trHeight w:hRule="exact" w:val="360"/>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15,934,928</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b/>
                <w:bCs/>
                <w:sz w:val="14"/>
                <w:szCs w:val="14"/>
              </w:rPr>
            </w:pPr>
            <w:r>
              <w:rPr>
                <w:b/>
                <w:bCs/>
                <w:sz w:val="14"/>
                <w:szCs w:val="14"/>
              </w:rPr>
              <w:t>14,426,831</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14,066,441</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b/>
                <w:bCs/>
                <w:sz w:val="14"/>
                <w:szCs w:val="14"/>
              </w:rPr>
            </w:pPr>
            <w:r>
              <w:rPr>
                <w:b/>
                <w:bCs/>
                <w:sz w:val="14"/>
                <w:szCs w:val="14"/>
              </w:rPr>
              <w:t>16,334,378</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16,300,486</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16,875,992</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16,433,290</w:t>
            </w:r>
          </w:p>
        </w:tc>
      </w:tr>
      <w:tr w:rsidR="00E41B73" w:rsidRPr="00B34F49" w:rsidTr="00E41B73">
        <w:trPr>
          <w:trHeight w:hRule="exact" w:val="360"/>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8,611,065</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b/>
                <w:bCs/>
                <w:sz w:val="14"/>
                <w:szCs w:val="14"/>
              </w:rPr>
            </w:pPr>
            <w:r>
              <w:rPr>
                <w:b/>
                <w:bCs/>
                <w:sz w:val="14"/>
                <w:szCs w:val="14"/>
              </w:rPr>
              <w:t>6,719,614</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6,568,075</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b/>
                <w:bCs/>
                <w:sz w:val="14"/>
                <w:szCs w:val="14"/>
              </w:rPr>
            </w:pPr>
            <w:r>
              <w:rPr>
                <w:b/>
                <w:bCs/>
                <w:sz w:val="14"/>
                <w:szCs w:val="14"/>
              </w:rPr>
              <w:t>9,131,649</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9,129,477</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9,521,014</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b/>
                <w:bCs/>
                <w:sz w:val="14"/>
                <w:szCs w:val="14"/>
              </w:rPr>
            </w:pPr>
            <w:r>
              <w:rPr>
                <w:b/>
                <w:bCs/>
                <w:sz w:val="14"/>
                <w:szCs w:val="14"/>
              </w:rPr>
              <w:t>9,176,572</w:t>
            </w:r>
          </w:p>
        </w:tc>
      </w:tr>
      <w:tr w:rsidR="00E41B73" w:rsidRPr="00B34F49" w:rsidTr="00E41B73">
        <w:trPr>
          <w:trHeight w:hRule="exact" w:val="270"/>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374,689</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293,792</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281,365</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413,157</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420,349</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425,725</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389,039</w:t>
            </w:r>
          </w:p>
        </w:tc>
      </w:tr>
      <w:tr w:rsidR="00E41B73" w:rsidRPr="00B34F49" w:rsidTr="00E41B73">
        <w:trPr>
          <w:trHeight w:hRule="exact" w:val="270"/>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606,361</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555,847</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548,643</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887,323</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712,064</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816,475</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714,651</w:t>
            </w:r>
          </w:p>
        </w:tc>
      </w:tr>
      <w:tr w:rsidR="00E41B73" w:rsidRPr="00B34F49" w:rsidTr="00E41B73">
        <w:trPr>
          <w:trHeight w:hRule="exact" w:val="315"/>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193,531</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207,211</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73,257</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162,596</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97,081</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150,533</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59,791</w:t>
            </w:r>
          </w:p>
        </w:tc>
      </w:tr>
      <w:tr w:rsidR="00E41B73" w:rsidRPr="00B34F49" w:rsidTr="00E41B73">
        <w:trPr>
          <w:trHeight w:hRule="exact" w:val="279"/>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7,390,284</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5,615,611</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5,617,655</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7,623,479</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7,855,049</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8,083,176</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7,967,846</w:t>
            </w:r>
          </w:p>
        </w:tc>
      </w:tr>
      <w:tr w:rsidR="00E41B73" w:rsidRPr="00B34F49" w:rsidTr="00E41B73">
        <w:trPr>
          <w:trHeight w:hRule="exact" w:val="324"/>
          <w:jc w:val="center"/>
        </w:trPr>
        <w:tc>
          <w:tcPr>
            <w:tcW w:w="3420" w:type="dxa"/>
            <w:tcBorders>
              <w:top w:val="nil"/>
              <w:left w:val="nil"/>
              <w:bottom w:val="nil"/>
              <w:right w:val="nil"/>
            </w:tcBorders>
            <w:shd w:val="clear" w:color="auto" w:fill="auto"/>
            <w:vAlign w:val="center"/>
            <w:hideMark/>
          </w:tcPr>
          <w:p w:rsidR="00E41B73" w:rsidRPr="007E3CF2" w:rsidRDefault="00E41B73" w:rsidP="00E41B7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46,201</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47,153</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47,155</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45,093</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44,934</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45,105</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45,244</w:t>
            </w:r>
          </w:p>
        </w:tc>
      </w:tr>
      <w:tr w:rsidR="00E41B73" w:rsidRPr="00B34F49" w:rsidTr="00E41B73">
        <w:trPr>
          <w:trHeight w:hRule="exact" w:val="243"/>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w:t>
            </w:r>
          </w:p>
        </w:tc>
      </w:tr>
      <w:tr w:rsidR="00E41B73" w:rsidRPr="00B34F49" w:rsidTr="00E41B73">
        <w:trPr>
          <w:trHeight w:hRule="exact" w:val="315"/>
          <w:jc w:val="center"/>
        </w:trPr>
        <w:tc>
          <w:tcPr>
            <w:tcW w:w="3420" w:type="dxa"/>
            <w:tcBorders>
              <w:top w:val="nil"/>
              <w:left w:val="nil"/>
              <w:bottom w:val="nil"/>
              <w:right w:val="nil"/>
            </w:tcBorders>
            <w:shd w:val="clear" w:color="auto" w:fill="auto"/>
            <w:vAlign w:val="center"/>
            <w:hideMark/>
          </w:tcPr>
          <w:p w:rsidR="00E41B73" w:rsidRPr="00B34F49" w:rsidRDefault="00E41B73" w:rsidP="00E41B7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3,270,049</w:t>
            </w:r>
          </w:p>
        </w:tc>
        <w:tc>
          <w:tcPr>
            <w:tcW w:w="830"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2,942,167</w:t>
            </w:r>
          </w:p>
        </w:tc>
        <w:tc>
          <w:tcPr>
            <w:tcW w:w="716"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2,840,516</w:t>
            </w:r>
          </w:p>
        </w:tc>
        <w:tc>
          <w:tcPr>
            <w:tcW w:w="724" w:type="dxa"/>
            <w:tcBorders>
              <w:top w:val="nil"/>
              <w:left w:val="nil"/>
              <w:bottom w:val="nil"/>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3,346,001</w:t>
            </w:r>
          </w:p>
        </w:tc>
        <w:tc>
          <w:tcPr>
            <w:tcW w:w="767"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3,346,258</w:t>
            </w:r>
          </w:p>
        </w:tc>
        <w:tc>
          <w:tcPr>
            <w:tcW w:w="851"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3,482,836</w:t>
            </w:r>
          </w:p>
        </w:tc>
        <w:tc>
          <w:tcPr>
            <w:tcW w:w="750" w:type="dxa"/>
            <w:tcBorders>
              <w:top w:val="nil"/>
              <w:left w:val="nil"/>
              <w:bottom w:val="nil"/>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3,336,935</w:t>
            </w:r>
          </w:p>
        </w:tc>
      </w:tr>
      <w:tr w:rsidR="00E41B73" w:rsidRPr="00B34F49" w:rsidTr="00E41B73">
        <w:trPr>
          <w:trHeight w:hRule="exact" w:val="405"/>
          <w:jc w:val="center"/>
        </w:trPr>
        <w:tc>
          <w:tcPr>
            <w:tcW w:w="3420" w:type="dxa"/>
            <w:tcBorders>
              <w:top w:val="nil"/>
              <w:left w:val="nil"/>
              <w:bottom w:val="single" w:sz="12" w:space="0" w:color="auto"/>
              <w:right w:val="nil"/>
            </w:tcBorders>
            <w:shd w:val="clear" w:color="auto" w:fill="auto"/>
            <w:vAlign w:val="center"/>
            <w:hideMark/>
          </w:tcPr>
          <w:p w:rsidR="00E41B73" w:rsidRPr="00B34F49" w:rsidRDefault="00E41B73" w:rsidP="00E41B7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5,341,017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3,777,447</w:t>
            </w:r>
          </w:p>
        </w:tc>
        <w:tc>
          <w:tcPr>
            <w:tcW w:w="716"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3,727,559</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E41B73" w:rsidRDefault="00E41B73" w:rsidP="00E41B73">
            <w:pPr>
              <w:jc w:val="right"/>
              <w:rPr>
                <w:sz w:val="14"/>
                <w:szCs w:val="14"/>
              </w:rPr>
            </w:pPr>
            <w:r>
              <w:rPr>
                <w:sz w:val="14"/>
                <w:szCs w:val="14"/>
              </w:rPr>
              <w:t>5,785,648</w:t>
            </w:r>
          </w:p>
        </w:tc>
        <w:tc>
          <w:tcPr>
            <w:tcW w:w="767"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5,783,219</w:t>
            </w:r>
          </w:p>
        </w:tc>
        <w:tc>
          <w:tcPr>
            <w:tcW w:w="851"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6,038,179</w:t>
            </w:r>
          </w:p>
        </w:tc>
        <w:tc>
          <w:tcPr>
            <w:tcW w:w="750" w:type="dxa"/>
            <w:tcBorders>
              <w:top w:val="nil"/>
              <w:left w:val="nil"/>
              <w:bottom w:val="single" w:sz="12" w:space="0" w:color="auto"/>
              <w:right w:val="nil"/>
            </w:tcBorders>
            <w:shd w:val="clear" w:color="auto" w:fill="auto"/>
            <w:tcMar>
              <w:left w:w="43" w:type="dxa"/>
              <w:right w:w="43" w:type="dxa"/>
            </w:tcMar>
            <w:vAlign w:val="center"/>
          </w:tcPr>
          <w:p w:rsidR="00E41B73" w:rsidRDefault="00E41B73" w:rsidP="00E41B73">
            <w:pPr>
              <w:jc w:val="right"/>
              <w:rPr>
                <w:sz w:val="14"/>
                <w:szCs w:val="14"/>
              </w:rPr>
            </w:pPr>
            <w:r>
              <w:rPr>
                <w:sz w:val="14"/>
                <w:szCs w:val="14"/>
              </w:rPr>
              <w:t>5,839,637</w:t>
            </w:r>
          </w:p>
        </w:tc>
      </w:tr>
      <w:tr w:rsidR="00E41B73"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E41B73" w:rsidRPr="00B34F49" w:rsidRDefault="00E41B73" w:rsidP="00E41B73">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E41B73" w:rsidRPr="00B34F49" w:rsidRDefault="00E41B73" w:rsidP="00E41B73">
            <w:pPr>
              <w:jc w:val="right"/>
              <w:rPr>
                <w:color w:val="auto"/>
                <w:sz w:val="14"/>
                <w:szCs w:val="14"/>
              </w:rPr>
            </w:pPr>
            <w:r w:rsidRPr="00B34F49">
              <w:rPr>
                <w:color w:val="auto"/>
                <w:sz w:val="14"/>
                <w:szCs w:val="16"/>
              </w:rPr>
              <w:t xml:space="preserve">Source: Off-Site Supervision &amp; Enforcement  Department SBP </w:t>
            </w:r>
          </w:p>
        </w:tc>
      </w:tr>
      <w:tr w:rsidR="00E41B73"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E41B73" w:rsidRPr="009836DB" w:rsidRDefault="00E41B73" w:rsidP="00E41B73">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21" w:type="pct"/>
        <w:tblLayout w:type="fixed"/>
        <w:tblLook w:val="0000" w:firstRow="0" w:lastRow="0" w:firstColumn="0" w:lastColumn="0" w:noHBand="0" w:noVBand="0"/>
      </w:tblPr>
      <w:tblGrid>
        <w:gridCol w:w="3626"/>
        <w:gridCol w:w="688"/>
        <w:gridCol w:w="793"/>
        <w:gridCol w:w="717"/>
        <w:gridCol w:w="829"/>
        <w:gridCol w:w="854"/>
        <w:gridCol w:w="825"/>
        <w:gridCol w:w="825"/>
        <w:gridCol w:w="825"/>
      </w:tblGrid>
      <w:tr w:rsidR="007E2F90" w:rsidRPr="00D5469A" w:rsidTr="000E1EB2">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E1EB2">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0E1EB2">
        <w:trPr>
          <w:cantSplit/>
          <w:trHeight w:hRule="exact" w:val="332"/>
        </w:trPr>
        <w:tc>
          <w:tcPr>
            <w:tcW w:w="1817"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16" w:type="pct"/>
            <w:gridSpan w:val="4"/>
            <w:tcBorders>
              <w:bottom w:val="single" w:sz="4" w:space="0" w:color="auto"/>
              <w:right w:val="single" w:sz="4" w:space="0" w:color="auto"/>
            </w:tcBorders>
            <w:shd w:val="clear" w:color="auto" w:fill="auto"/>
            <w:vAlign w:val="center"/>
          </w:tcPr>
          <w:p w:rsidR="007E2F90" w:rsidRPr="00D5469A" w:rsidRDefault="000E1EB2" w:rsidP="000E1EB2">
            <w:pPr>
              <w:rPr>
                <w:b/>
                <w:color w:val="auto"/>
                <w:szCs w:val="16"/>
              </w:rPr>
            </w:pPr>
            <w:r>
              <w:rPr>
                <w:b/>
                <w:color w:val="auto"/>
                <w:szCs w:val="16"/>
              </w:rPr>
              <w:t>Jun</w:t>
            </w:r>
            <w:r w:rsidR="00B151AD">
              <w:rPr>
                <w:b/>
                <w:color w:val="auto"/>
                <w:szCs w:val="16"/>
              </w:rPr>
              <w:t>-</w:t>
            </w:r>
            <w:r>
              <w:rPr>
                <w:b/>
                <w:color w:val="auto"/>
                <w:szCs w:val="16"/>
              </w:rPr>
              <w:t>20</w:t>
            </w:r>
          </w:p>
        </w:tc>
        <w:tc>
          <w:tcPr>
            <w:tcW w:w="1667" w:type="pct"/>
            <w:gridSpan w:val="4"/>
            <w:tcBorders>
              <w:left w:val="single" w:sz="4" w:space="0" w:color="auto"/>
              <w:bottom w:val="single" w:sz="4" w:space="0" w:color="auto"/>
            </w:tcBorders>
            <w:shd w:val="clear" w:color="auto" w:fill="auto"/>
            <w:vAlign w:val="center"/>
          </w:tcPr>
          <w:p w:rsidR="007E2F90" w:rsidRPr="00D5469A" w:rsidRDefault="000E1EB2" w:rsidP="007E5E16">
            <w:pPr>
              <w:rPr>
                <w:b/>
                <w:color w:val="auto"/>
                <w:szCs w:val="16"/>
              </w:rPr>
            </w:pPr>
            <w:r>
              <w:rPr>
                <w:b/>
                <w:color w:val="auto"/>
                <w:szCs w:val="16"/>
              </w:rPr>
              <w:t>Sep</w:t>
            </w:r>
            <w:r w:rsidR="000010D1">
              <w:rPr>
                <w:b/>
                <w:color w:val="auto"/>
                <w:szCs w:val="16"/>
              </w:rPr>
              <w:t>-</w:t>
            </w:r>
            <w:r w:rsidR="007E5E16">
              <w:rPr>
                <w:b/>
                <w:color w:val="auto"/>
                <w:szCs w:val="16"/>
              </w:rPr>
              <w:t>20</w:t>
            </w:r>
          </w:p>
        </w:tc>
      </w:tr>
      <w:tr w:rsidR="006423A2" w:rsidRPr="00D5469A" w:rsidTr="000E1EB2">
        <w:trPr>
          <w:cantSplit/>
          <w:trHeight w:hRule="exact" w:val="216"/>
        </w:trPr>
        <w:tc>
          <w:tcPr>
            <w:tcW w:w="1817"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45"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97"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5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526F81">
            <w:pPr>
              <w:jc w:val="right"/>
              <w:rPr>
                <w:b/>
                <w:bCs/>
                <w:szCs w:val="16"/>
              </w:rPr>
            </w:pPr>
            <w:r>
              <w:rPr>
                <w:b/>
                <w:bCs/>
                <w:szCs w:val="16"/>
              </w:rPr>
              <w:t>MF</w:t>
            </w:r>
            <w:r w:rsidR="00526F81">
              <w:rPr>
                <w:b/>
                <w:bCs/>
                <w:szCs w:val="16"/>
              </w:rPr>
              <w:t>I</w:t>
            </w:r>
            <w:r>
              <w:rPr>
                <w:b/>
                <w:bCs/>
                <w:szCs w:val="16"/>
              </w:rPr>
              <w:t>s</w:t>
            </w:r>
          </w:p>
        </w:tc>
        <w:tc>
          <w:tcPr>
            <w:tcW w:w="415"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28"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3"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3"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526F81" w:rsidP="006423A2">
            <w:pPr>
              <w:jc w:val="right"/>
              <w:rPr>
                <w:b/>
                <w:bCs/>
                <w:szCs w:val="16"/>
              </w:rPr>
            </w:pPr>
            <w:r>
              <w:rPr>
                <w:b/>
                <w:bCs/>
                <w:szCs w:val="16"/>
              </w:rPr>
              <w:t>MFI</w:t>
            </w:r>
            <w:r w:rsidR="006423A2">
              <w:rPr>
                <w:b/>
                <w:bCs/>
                <w:szCs w:val="16"/>
              </w:rPr>
              <w:t>s</w:t>
            </w:r>
          </w:p>
        </w:tc>
        <w:tc>
          <w:tcPr>
            <w:tcW w:w="413"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11,521</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395,159</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66,541</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473,220</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12,161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473,619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72,172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557,952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Currency</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2,490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6,170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8,671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2,716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5,606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8,332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Transferable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6,322</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317,433</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52,095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375,850</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5,980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379,873</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50,671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436,524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c. Restricted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6,742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4,420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11,161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7,331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4,577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11,908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d. Other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5,187</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68,494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3,856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77,537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83,699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11,318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101,188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2. Investment in securities other  than shares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250,625</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209,176</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53,603</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513,404</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238,374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172,377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67,061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477,813</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111,396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120,852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51,718</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283,966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80,539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77,504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63,294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221,337</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139,229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88,324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1,885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229,438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157,835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94,873</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3,767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256,475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115,254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90,061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238,519</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443,833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128,854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93,794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246,936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469,584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19,148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27,396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184,654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231,198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31,910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31,175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190,397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253,482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96,106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62,665</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53,865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212,635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96,944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62,618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56,540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216,102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36,874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239,234</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276,108</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38,107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283,842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321,949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30,840</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224,579</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255,419</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31,656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267,802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299,458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6,035</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14,654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20,689</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6,452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16,039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22,491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272</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272</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Life</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Non-life</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173</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378</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21,982</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41,221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29,584</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92,786</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22,973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34,949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34,512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92,433</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6,109</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31,846</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36,487</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74,443</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6,240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32,529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37,587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76,356</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1B2736" w:rsidRDefault="000E1EB2" w:rsidP="000E1EB2">
            <w:pPr>
              <w:ind w:firstLine="445"/>
              <w:jc w:val="left"/>
              <w:rPr>
                <w:b/>
                <w:bCs/>
                <w:color w:val="auto"/>
                <w:szCs w:val="16"/>
              </w:rPr>
            </w:pPr>
            <w:r w:rsidRPr="001B2736">
              <w:rPr>
                <w:b/>
                <w:bCs/>
                <w:color w:val="auto"/>
                <w:szCs w:val="16"/>
              </w:rPr>
              <w:t>a. 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5,758</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26,148</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36,325</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68,231</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5,902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26,329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37,440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69,671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5,559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24,264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30,871</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60,694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5,840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24,398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31,738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61,976</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ii.  Inventories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531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531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iii.  Valuables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492</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492</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532</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373"/>
              <w:jc w:val="left"/>
              <w:rPr>
                <w:color w:val="auto"/>
                <w:szCs w:val="16"/>
              </w:rPr>
            </w:pPr>
            <w:r w:rsidRPr="00D5469A">
              <w:rPr>
                <w:color w:val="auto"/>
                <w:szCs w:val="16"/>
              </w:rPr>
              <w:t xml:space="preserve">     iv.  Other 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861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5,455</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6,514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885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5,701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6,648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1B2736" w:rsidRDefault="000E1EB2" w:rsidP="000E1EB2">
            <w:pPr>
              <w:ind w:firstLine="445"/>
              <w:jc w:val="left"/>
              <w:rPr>
                <w:b/>
                <w:bCs/>
                <w:color w:val="auto"/>
                <w:szCs w:val="16"/>
              </w:rPr>
            </w:pPr>
            <w:r w:rsidRPr="001B2736">
              <w:rPr>
                <w:b/>
                <w:bCs/>
                <w:color w:val="auto"/>
                <w:szCs w:val="16"/>
              </w:rPr>
              <w:t>b. Non-produced assets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351</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5,699</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162</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6,212</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337</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6,200</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148</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6,685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1,650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1,765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2,197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2,312</w:t>
            </w:r>
          </w:p>
        </w:tc>
      </w:tr>
      <w:tr w:rsidR="000E1EB2" w:rsidRPr="00D5469A" w:rsidTr="000E1EB2">
        <w:trPr>
          <w:trHeight w:hRule="exact" w:val="230"/>
        </w:trPr>
        <w:tc>
          <w:tcPr>
            <w:tcW w:w="1817" w:type="pct"/>
            <w:tcBorders>
              <w:top w:val="nil"/>
              <w:left w:val="nil"/>
              <w:right w:val="nil"/>
            </w:tcBorders>
            <w:shd w:val="clear" w:color="auto" w:fill="auto"/>
            <w:noWrap/>
            <w:vAlign w:val="center"/>
          </w:tcPr>
          <w:p w:rsidR="000E1EB2" w:rsidRPr="00D5469A" w:rsidRDefault="000E1EB2" w:rsidP="000E1EB2">
            <w:pPr>
              <w:ind w:left="451"/>
              <w:jc w:val="left"/>
              <w:rPr>
                <w:color w:val="auto"/>
                <w:szCs w:val="16"/>
              </w:rPr>
            </w:pPr>
            <w:r w:rsidRPr="00D5469A">
              <w:rPr>
                <w:color w:val="auto"/>
                <w:szCs w:val="16"/>
              </w:rPr>
              <w:t xml:space="preserve">    ii.  Other-non-produced assets</w:t>
            </w:r>
          </w:p>
        </w:tc>
        <w:tc>
          <w:tcPr>
            <w:tcW w:w="345"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226</w:t>
            </w:r>
          </w:p>
        </w:tc>
        <w:tc>
          <w:tcPr>
            <w:tcW w:w="397"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4,049</w:t>
            </w:r>
          </w:p>
        </w:tc>
        <w:tc>
          <w:tcPr>
            <w:tcW w:w="359"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172</w:t>
            </w:r>
          </w:p>
        </w:tc>
        <w:tc>
          <w:tcPr>
            <w:tcW w:w="415" w:type="pct"/>
            <w:tcBorders>
              <w:top w:val="nil"/>
              <w:left w:val="nil"/>
              <w:right w:val="nil"/>
            </w:tcBorders>
            <w:shd w:val="clear" w:color="auto" w:fill="auto"/>
            <w:noWrap/>
            <w:vAlign w:val="center"/>
          </w:tcPr>
          <w:p w:rsidR="000E1EB2" w:rsidRDefault="000E1EB2" w:rsidP="000E1EB2">
            <w:pPr>
              <w:jc w:val="right"/>
              <w:rPr>
                <w:sz w:val="14"/>
                <w:szCs w:val="14"/>
              </w:rPr>
            </w:pPr>
            <w:r>
              <w:rPr>
                <w:sz w:val="14"/>
                <w:szCs w:val="14"/>
              </w:rPr>
              <w:t>4,447</w:t>
            </w:r>
          </w:p>
        </w:tc>
        <w:tc>
          <w:tcPr>
            <w:tcW w:w="428"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212</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4,003</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158</w:t>
            </w:r>
          </w:p>
        </w:tc>
        <w:tc>
          <w:tcPr>
            <w:tcW w:w="413" w:type="pct"/>
            <w:tcBorders>
              <w:top w:val="nil"/>
              <w:left w:val="nil"/>
              <w:right w:val="nil"/>
            </w:tcBorders>
            <w:shd w:val="clear" w:color="auto" w:fill="auto"/>
            <w:vAlign w:val="center"/>
          </w:tcPr>
          <w:p w:rsidR="000E1EB2" w:rsidRDefault="000E1EB2" w:rsidP="000E1EB2">
            <w:pPr>
              <w:jc w:val="right"/>
              <w:rPr>
                <w:sz w:val="14"/>
                <w:szCs w:val="14"/>
              </w:rPr>
            </w:pPr>
            <w:r>
              <w:rPr>
                <w:sz w:val="14"/>
                <w:szCs w:val="14"/>
              </w:rPr>
              <w:t>4,373</w:t>
            </w:r>
          </w:p>
        </w:tc>
      </w:tr>
      <w:tr w:rsidR="000E1EB2" w:rsidRPr="00D5469A" w:rsidTr="000E1EB2">
        <w:trPr>
          <w:trHeight w:hRule="exact" w:val="230"/>
        </w:trPr>
        <w:tc>
          <w:tcPr>
            <w:tcW w:w="1817" w:type="pct"/>
            <w:tcBorders>
              <w:left w:val="nil"/>
              <w:right w:val="nil"/>
            </w:tcBorders>
            <w:shd w:val="clear" w:color="auto" w:fill="auto"/>
            <w:noWrap/>
            <w:vAlign w:val="center"/>
          </w:tcPr>
          <w:p w:rsidR="000E1EB2" w:rsidRPr="00D5469A" w:rsidRDefault="000E1EB2" w:rsidP="000E1EB2">
            <w:pPr>
              <w:jc w:val="left"/>
              <w:rPr>
                <w:b/>
                <w:bCs/>
                <w:color w:val="auto"/>
                <w:szCs w:val="16"/>
              </w:rPr>
            </w:pPr>
            <w:r w:rsidRPr="00D5469A">
              <w:rPr>
                <w:b/>
                <w:bCs/>
                <w:color w:val="auto"/>
                <w:szCs w:val="16"/>
              </w:rPr>
              <w:t>Total Assets/ Liabilities</w:t>
            </w:r>
          </w:p>
        </w:tc>
        <w:tc>
          <w:tcPr>
            <w:tcW w:w="345"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442,364</w:t>
            </w:r>
          </w:p>
        </w:tc>
        <w:tc>
          <w:tcPr>
            <w:tcW w:w="397"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1,006,869</w:t>
            </w:r>
          </w:p>
        </w:tc>
        <w:tc>
          <w:tcPr>
            <w:tcW w:w="359"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425,005</w:t>
            </w:r>
          </w:p>
        </w:tc>
        <w:tc>
          <w:tcPr>
            <w:tcW w:w="415" w:type="pct"/>
            <w:tcBorders>
              <w:left w:val="nil"/>
              <w:right w:val="nil"/>
            </w:tcBorders>
            <w:shd w:val="clear" w:color="auto" w:fill="auto"/>
            <w:noWrap/>
            <w:vAlign w:val="center"/>
          </w:tcPr>
          <w:p w:rsidR="000E1EB2" w:rsidRDefault="000E1EB2" w:rsidP="000E1EB2">
            <w:pPr>
              <w:jc w:val="right"/>
              <w:rPr>
                <w:b/>
                <w:bCs/>
                <w:sz w:val="14"/>
                <w:szCs w:val="14"/>
              </w:rPr>
            </w:pPr>
            <w:r>
              <w:rPr>
                <w:b/>
                <w:bCs/>
                <w:sz w:val="14"/>
                <w:szCs w:val="14"/>
              </w:rPr>
              <w:t>1,874,238</w:t>
            </w:r>
          </w:p>
        </w:tc>
        <w:tc>
          <w:tcPr>
            <w:tcW w:w="428"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446,709</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1,091,487</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458,531</w:t>
            </w:r>
          </w:p>
        </w:tc>
        <w:tc>
          <w:tcPr>
            <w:tcW w:w="413" w:type="pct"/>
            <w:tcBorders>
              <w:left w:val="nil"/>
              <w:right w:val="nil"/>
            </w:tcBorders>
            <w:shd w:val="clear" w:color="auto" w:fill="auto"/>
            <w:vAlign w:val="center"/>
          </w:tcPr>
          <w:p w:rsidR="000E1EB2" w:rsidRDefault="000E1EB2" w:rsidP="000E1EB2">
            <w:pPr>
              <w:jc w:val="right"/>
              <w:rPr>
                <w:b/>
                <w:bCs/>
                <w:sz w:val="14"/>
                <w:szCs w:val="14"/>
              </w:rPr>
            </w:pPr>
            <w:r>
              <w:rPr>
                <w:b/>
                <w:bCs/>
                <w:sz w:val="14"/>
                <w:szCs w:val="14"/>
              </w:rPr>
              <w:t>1,996,727</w:t>
            </w:r>
          </w:p>
        </w:tc>
      </w:tr>
      <w:tr w:rsidR="000E1EB2" w:rsidRPr="00D5469A" w:rsidTr="000E1EB2">
        <w:trPr>
          <w:trHeight w:hRule="exact" w:val="230"/>
        </w:trPr>
        <w:tc>
          <w:tcPr>
            <w:tcW w:w="1817" w:type="pct"/>
            <w:tcBorders>
              <w:left w:val="nil"/>
              <w:bottom w:val="nil"/>
              <w:right w:val="nil"/>
            </w:tcBorders>
            <w:shd w:val="clear" w:color="auto" w:fill="auto"/>
            <w:noWrap/>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5"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18,665</w:t>
            </w:r>
          </w:p>
        </w:tc>
        <w:tc>
          <w:tcPr>
            <w:tcW w:w="397"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34,300</w:t>
            </w:r>
          </w:p>
        </w:tc>
        <w:tc>
          <w:tcPr>
            <w:tcW w:w="359"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294,404</w:t>
            </w:r>
          </w:p>
        </w:tc>
        <w:tc>
          <w:tcPr>
            <w:tcW w:w="415" w:type="pct"/>
            <w:tcBorders>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347,368</w:t>
            </w:r>
          </w:p>
        </w:tc>
        <w:tc>
          <w:tcPr>
            <w:tcW w:w="428"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30,627</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32,352</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322,486</w:t>
            </w:r>
          </w:p>
        </w:tc>
        <w:tc>
          <w:tcPr>
            <w:tcW w:w="413" w:type="pct"/>
            <w:tcBorders>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385,465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Restricted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171</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21,354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21,531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169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20,049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20,225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Other deposits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18,494</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12,946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294,397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325,837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30,458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12,304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322,479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365,240</w:t>
            </w:r>
          </w:p>
        </w:tc>
      </w:tr>
      <w:tr w:rsidR="000E1EB2" w:rsidRPr="00D5469A" w:rsidTr="000E1EB2">
        <w:trPr>
          <w:trHeight w:hRule="exact" w:val="378"/>
        </w:trPr>
        <w:tc>
          <w:tcPr>
            <w:tcW w:w="1817" w:type="pct"/>
            <w:tcBorders>
              <w:top w:val="nil"/>
              <w:left w:val="nil"/>
              <w:bottom w:val="nil"/>
              <w:right w:val="nil"/>
            </w:tcBorders>
            <w:shd w:val="clear" w:color="auto" w:fill="auto"/>
            <w:noWrap/>
            <w:tcMar>
              <w:left w:w="115" w:type="dxa"/>
              <w:right w:w="29" w:type="dxa"/>
            </w:tcMar>
            <w:vAlign w:val="center"/>
          </w:tcPr>
          <w:p w:rsidR="000E1EB2" w:rsidRPr="00D5469A" w:rsidRDefault="000E1EB2" w:rsidP="000E1EB2">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1,987</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6,429</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8,416</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5,001</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1,969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6,519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13,489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 xml:space="preserve">a. Short-term </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1,035</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1,035</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1,034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1,034</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953</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6,429</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7,382</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5,001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935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6,519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12,455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260,374</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45,264</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24,841</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330,479</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245,185</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45,493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24,283</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314,961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Short-term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195,585</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7,694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3,974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207,253</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181,782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9,121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4,167</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195,070</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Long-term</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64,789</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37,570</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20,867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123,226</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63,402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36,372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20,116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119,891</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38,133</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80,347</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55,897</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174,378</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39,545</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68,594</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55,976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164,115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125,192</w:t>
            </w:r>
          </w:p>
        </w:tc>
        <w:tc>
          <w:tcPr>
            <w:tcW w:w="397"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844,971</w:t>
            </w:r>
          </w:p>
        </w:tc>
        <w:tc>
          <w:tcPr>
            <w:tcW w:w="359"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43,434</w:t>
            </w:r>
          </w:p>
        </w:tc>
        <w:tc>
          <w:tcPr>
            <w:tcW w:w="415" w:type="pct"/>
            <w:tcBorders>
              <w:top w:val="nil"/>
              <w:left w:val="nil"/>
              <w:bottom w:val="nil"/>
              <w:right w:val="nil"/>
            </w:tcBorders>
            <w:shd w:val="clear" w:color="auto" w:fill="auto"/>
            <w:noWrap/>
            <w:vAlign w:val="center"/>
          </w:tcPr>
          <w:p w:rsidR="000E1EB2" w:rsidRDefault="000E1EB2" w:rsidP="000E1EB2">
            <w:pPr>
              <w:jc w:val="right"/>
              <w:rPr>
                <w:b/>
                <w:bCs/>
                <w:sz w:val="14"/>
                <w:szCs w:val="14"/>
              </w:rPr>
            </w:pPr>
            <w:r>
              <w:rPr>
                <w:b/>
                <w:bCs/>
                <w:sz w:val="14"/>
                <w:szCs w:val="14"/>
              </w:rPr>
              <w:t>1,013,597</w:t>
            </w:r>
          </w:p>
        </w:tc>
        <w:tc>
          <w:tcPr>
            <w:tcW w:w="428"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126,352</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943,079</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49,266</w:t>
            </w:r>
          </w:p>
        </w:tc>
        <w:tc>
          <w:tcPr>
            <w:tcW w:w="413" w:type="pct"/>
            <w:tcBorders>
              <w:top w:val="nil"/>
              <w:left w:val="nil"/>
              <w:bottom w:val="nil"/>
              <w:right w:val="nil"/>
            </w:tcBorders>
            <w:shd w:val="clear" w:color="auto" w:fill="auto"/>
            <w:vAlign w:val="center"/>
          </w:tcPr>
          <w:p w:rsidR="000E1EB2" w:rsidRDefault="000E1EB2" w:rsidP="000E1EB2">
            <w:pPr>
              <w:jc w:val="right"/>
              <w:rPr>
                <w:b/>
                <w:bCs/>
                <w:sz w:val="14"/>
                <w:szCs w:val="14"/>
              </w:rPr>
            </w:pPr>
            <w:r>
              <w:rPr>
                <w:b/>
                <w:bCs/>
                <w:sz w:val="14"/>
                <w:szCs w:val="14"/>
              </w:rPr>
              <w:t>1,118,697</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a. 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444,164</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3,440</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447,604</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509,259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3,440</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512,699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b. Non-quoted</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75,022</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326,889</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23,316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425,227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75,022</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351,325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23,551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449,898</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c. Retained earnings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24,648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40,296</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(4,186)</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60,758</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24,469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42,655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(4,119)</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63,005</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d. Current year result</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4,148</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33,427</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(587)</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36,987</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7,356</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30,954</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(2,471)</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35,839</w:t>
            </w:r>
          </w:p>
        </w:tc>
      </w:tr>
      <w:tr w:rsidR="000E1EB2" w:rsidRPr="00D5469A" w:rsidTr="000E1EB2">
        <w:trPr>
          <w:trHeight w:hRule="exact" w:val="230"/>
        </w:trPr>
        <w:tc>
          <w:tcPr>
            <w:tcW w:w="1817" w:type="pct"/>
            <w:tcBorders>
              <w:top w:val="nil"/>
              <w:left w:val="nil"/>
              <w:bottom w:val="nil"/>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e. General &amp; special reserves</w:t>
            </w:r>
          </w:p>
        </w:tc>
        <w:tc>
          <w:tcPr>
            <w:tcW w:w="34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16,846</w:t>
            </w:r>
          </w:p>
        </w:tc>
        <w:tc>
          <w:tcPr>
            <w:tcW w:w="397"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9,051</w:t>
            </w:r>
          </w:p>
        </w:tc>
        <w:tc>
          <w:tcPr>
            <w:tcW w:w="359"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21,234</w:t>
            </w:r>
          </w:p>
        </w:tc>
        <w:tc>
          <w:tcPr>
            <w:tcW w:w="415" w:type="pct"/>
            <w:tcBorders>
              <w:top w:val="nil"/>
              <w:left w:val="nil"/>
              <w:bottom w:val="nil"/>
              <w:right w:val="nil"/>
            </w:tcBorders>
            <w:shd w:val="clear" w:color="auto" w:fill="auto"/>
            <w:noWrap/>
            <w:vAlign w:val="center"/>
          </w:tcPr>
          <w:p w:rsidR="000E1EB2" w:rsidRDefault="000E1EB2" w:rsidP="000E1EB2">
            <w:pPr>
              <w:jc w:val="right"/>
              <w:rPr>
                <w:sz w:val="14"/>
                <w:szCs w:val="14"/>
              </w:rPr>
            </w:pPr>
            <w:r>
              <w:rPr>
                <w:sz w:val="14"/>
                <w:szCs w:val="14"/>
              </w:rPr>
              <w:t>47,131</w:t>
            </w:r>
          </w:p>
        </w:tc>
        <w:tc>
          <w:tcPr>
            <w:tcW w:w="428"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17,185</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7,148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28,768</w:t>
            </w:r>
          </w:p>
        </w:tc>
        <w:tc>
          <w:tcPr>
            <w:tcW w:w="413" w:type="pct"/>
            <w:tcBorders>
              <w:top w:val="nil"/>
              <w:left w:val="nil"/>
              <w:bottom w:val="nil"/>
              <w:right w:val="nil"/>
            </w:tcBorders>
            <w:shd w:val="clear" w:color="auto" w:fill="auto"/>
            <w:vAlign w:val="center"/>
          </w:tcPr>
          <w:p w:rsidR="000E1EB2" w:rsidRDefault="000E1EB2" w:rsidP="000E1EB2">
            <w:pPr>
              <w:jc w:val="right"/>
              <w:rPr>
                <w:sz w:val="14"/>
                <w:szCs w:val="14"/>
              </w:rPr>
            </w:pPr>
            <w:r>
              <w:rPr>
                <w:sz w:val="14"/>
                <w:szCs w:val="14"/>
              </w:rPr>
              <w:t>53,101</w:t>
            </w:r>
          </w:p>
        </w:tc>
      </w:tr>
      <w:tr w:rsidR="000E1EB2" w:rsidRPr="00D5469A" w:rsidTr="000E1EB2">
        <w:trPr>
          <w:trHeight w:hRule="exact" w:val="230"/>
        </w:trPr>
        <w:tc>
          <w:tcPr>
            <w:tcW w:w="1817" w:type="pct"/>
            <w:tcBorders>
              <w:top w:val="nil"/>
              <w:left w:val="nil"/>
              <w:bottom w:val="single" w:sz="12" w:space="0" w:color="auto"/>
              <w:right w:val="nil"/>
            </w:tcBorders>
            <w:shd w:val="clear" w:color="auto" w:fill="auto"/>
            <w:noWrap/>
            <w:vAlign w:val="center"/>
          </w:tcPr>
          <w:p w:rsidR="000E1EB2" w:rsidRPr="00D5469A" w:rsidRDefault="000E1EB2" w:rsidP="000E1EB2">
            <w:pPr>
              <w:ind w:firstLine="445"/>
              <w:jc w:val="left"/>
              <w:rPr>
                <w:color w:val="auto"/>
                <w:szCs w:val="16"/>
              </w:rPr>
            </w:pPr>
            <w:r w:rsidRPr="00D5469A">
              <w:rPr>
                <w:color w:val="auto"/>
                <w:szCs w:val="16"/>
              </w:rPr>
              <w:t>f. Valuation adjustments</w:t>
            </w:r>
          </w:p>
        </w:tc>
        <w:tc>
          <w:tcPr>
            <w:tcW w:w="345"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4,528</w:t>
            </w:r>
          </w:p>
        </w:tc>
        <w:tc>
          <w:tcPr>
            <w:tcW w:w="397"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(8,857)</w:t>
            </w:r>
          </w:p>
        </w:tc>
        <w:tc>
          <w:tcPr>
            <w:tcW w:w="359"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217</w:t>
            </w:r>
          </w:p>
        </w:tc>
        <w:tc>
          <w:tcPr>
            <w:tcW w:w="415" w:type="pct"/>
            <w:tcBorders>
              <w:top w:val="nil"/>
              <w:left w:val="nil"/>
              <w:bottom w:val="single" w:sz="12" w:space="0" w:color="auto"/>
              <w:right w:val="nil"/>
            </w:tcBorders>
            <w:shd w:val="clear" w:color="auto" w:fill="auto"/>
            <w:noWrap/>
            <w:vAlign w:val="center"/>
          </w:tcPr>
          <w:p w:rsidR="000E1EB2" w:rsidRDefault="000E1EB2" w:rsidP="000E1EB2">
            <w:pPr>
              <w:jc w:val="right"/>
              <w:rPr>
                <w:sz w:val="14"/>
                <w:szCs w:val="14"/>
              </w:rPr>
            </w:pPr>
            <w:r>
              <w:rPr>
                <w:sz w:val="14"/>
                <w:szCs w:val="14"/>
              </w:rPr>
              <w:t>(4,111)</w:t>
            </w:r>
          </w:p>
        </w:tc>
        <w:tc>
          <w:tcPr>
            <w:tcW w:w="428"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2,319</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1,738</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97</w:t>
            </w:r>
          </w:p>
        </w:tc>
        <w:tc>
          <w:tcPr>
            <w:tcW w:w="413" w:type="pct"/>
            <w:tcBorders>
              <w:top w:val="nil"/>
              <w:left w:val="nil"/>
              <w:bottom w:val="single" w:sz="12" w:space="0" w:color="auto"/>
              <w:right w:val="nil"/>
            </w:tcBorders>
            <w:shd w:val="clear" w:color="auto" w:fill="auto"/>
            <w:vAlign w:val="center"/>
          </w:tcPr>
          <w:p w:rsidR="000E1EB2" w:rsidRDefault="000E1EB2" w:rsidP="000E1EB2">
            <w:pPr>
              <w:jc w:val="right"/>
              <w:rPr>
                <w:sz w:val="14"/>
                <w:szCs w:val="14"/>
              </w:rPr>
            </w:pPr>
            <w:r>
              <w:rPr>
                <w:sz w:val="14"/>
                <w:szCs w:val="14"/>
              </w:rPr>
              <w:t>4,154</w:t>
            </w:r>
          </w:p>
        </w:tc>
      </w:tr>
      <w:tr w:rsidR="00052B28" w:rsidRPr="00D5469A" w:rsidTr="000E1EB2">
        <w:trPr>
          <w:trHeight w:val="645"/>
        </w:trPr>
        <w:tc>
          <w:tcPr>
            <w:tcW w:w="5000" w:type="pct"/>
            <w:gridSpan w:val="9"/>
            <w:tcBorders>
              <w:top w:val="single" w:sz="12" w:space="0" w:color="auto"/>
              <w:left w:val="nil"/>
              <w:right w:val="nil"/>
            </w:tcBorders>
            <w:shd w:val="clear" w:color="auto" w:fill="auto"/>
            <w:vAlign w:val="center"/>
          </w:tcPr>
          <w:p w:rsidR="00052B28" w:rsidRDefault="00052B28" w:rsidP="00052B28">
            <w:pPr>
              <w:ind w:hanging="95"/>
              <w:jc w:val="right"/>
              <w:rPr>
                <w:color w:val="auto"/>
                <w:sz w:val="12"/>
                <w:szCs w:val="16"/>
              </w:rPr>
            </w:pPr>
            <w:r>
              <w:rPr>
                <w:sz w:val="14"/>
                <w:szCs w:val="14"/>
              </w:rPr>
              <w:t>Source: Statistics &amp; Data Warehouse Department SBP</w:t>
            </w:r>
          </w:p>
          <w:p w:rsidR="00052B28" w:rsidRPr="009836DB" w:rsidRDefault="00052B28" w:rsidP="00052B28">
            <w:pPr>
              <w:ind w:hanging="95"/>
              <w:jc w:val="left"/>
              <w:rPr>
                <w:color w:val="auto"/>
                <w:sz w:val="13"/>
                <w:szCs w:val="13"/>
              </w:rPr>
            </w:pPr>
            <w:r w:rsidRPr="009836DB">
              <w:rPr>
                <w:color w:val="auto"/>
                <w:sz w:val="13"/>
                <w:szCs w:val="13"/>
              </w:rPr>
              <w:t>* DFIs also includes HBFC &amp; PMRCL data.</w:t>
            </w:r>
          </w:p>
          <w:p w:rsidR="00052B28" w:rsidRPr="009836DB" w:rsidRDefault="00052B28" w:rsidP="00052B28">
            <w:pPr>
              <w:ind w:hanging="95"/>
              <w:jc w:val="left"/>
              <w:rPr>
                <w:color w:val="auto"/>
                <w:sz w:val="13"/>
                <w:szCs w:val="13"/>
              </w:rPr>
            </w:pPr>
            <w:r w:rsidRPr="009836DB">
              <w:rPr>
                <w:color w:val="auto"/>
                <w:sz w:val="13"/>
                <w:szCs w:val="13"/>
              </w:rPr>
              <w:t>DFIs Development Finance Institutions</w:t>
            </w:r>
          </w:p>
          <w:p w:rsidR="00052B28" w:rsidRPr="009836DB" w:rsidRDefault="00052B28" w:rsidP="00052B28">
            <w:pPr>
              <w:ind w:hanging="95"/>
              <w:jc w:val="left"/>
              <w:rPr>
                <w:color w:val="auto"/>
                <w:sz w:val="13"/>
                <w:szCs w:val="13"/>
              </w:rPr>
            </w:pPr>
            <w:r w:rsidRPr="009836DB">
              <w:rPr>
                <w:color w:val="auto"/>
                <w:sz w:val="13"/>
                <w:szCs w:val="13"/>
              </w:rPr>
              <w:t xml:space="preserve">NBFCs  </w:t>
            </w:r>
            <w:r w:rsidR="009836DB" w:rsidRPr="009836DB">
              <w:rPr>
                <w:color w:val="auto"/>
                <w:sz w:val="13"/>
                <w:szCs w:val="13"/>
              </w:rPr>
              <w:t>Non-Bank</w:t>
            </w:r>
            <w:r w:rsidRPr="009836DB">
              <w:rPr>
                <w:color w:val="auto"/>
                <w:sz w:val="13"/>
                <w:szCs w:val="13"/>
              </w:rPr>
              <w:t xml:space="preserve"> Financial Companies</w:t>
            </w:r>
          </w:p>
          <w:p w:rsidR="00052B28" w:rsidRPr="00D5469A" w:rsidRDefault="00052B28" w:rsidP="00052B28">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40006F" w:rsidRPr="00D5469A" w:rsidTr="000E1EB2">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0E1EB2" w:rsidP="000E1EB2">
            <w:pPr>
              <w:rPr>
                <w:b/>
                <w:color w:val="auto"/>
                <w:szCs w:val="16"/>
              </w:rPr>
            </w:pPr>
            <w:r>
              <w:rPr>
                <w:b/>
                <w:color w:val="auto"/>
                <w:szCs w:val="16"/>
              </w:rPr>
              <w:t>Jun</w:t>
            </w:r>
            <w:r w:rsidR="0040006F" w:rsidRPr="00D5469A">
              <w:rPr>
                <w:b/>
                <w:color w:val="auto"/>
                <w:szCs w:val="16"/>
              </w:rPr>
              <w:t>-</w:t>
            </w:r>
            <w:r>
              <w:rPr>
                <w:b/>
                <w:color w:val="auto"/>
                <w:szCs w:val="16"/>
              </w:rPr>
              <w:t>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0E1EB2" w:rsidP="000E1EB2">
            <w:pPr>
              <w:rPr>
                <w:b/>
                <w:color w:val="auto"/>
                <w:szCs w:val="16"/>
              </w:rPr>
            </w:pPr>
            <w:r>
              <w:rPr>
                <w:b/>
                <w:bCs/>
                <w:color w:val="auto"/>
                <w:szCs w:val="22"/>
              </w:rPr>
              <w:t>Sep</w:t>
            </w:r>
            <w:r w:rsidR="00322666">
              <w:rPr>
                <w:b/>
                <w:bCs/>
                <w:color w:val="auto"/>
                <w:szCs w:val="22"/>
              </w:rPr>
              <w:t>-</w:t>
            </w:r>
            <w:r w:rsidR="007E5E16">
              <w:rPr>
                <w:b/>
                <w:bCs/>
                <w:color w:val="auto"/>
                <w:szCs w:val="22"/>
              </w:rPr>
              <w:t>20</w:t>
            </w:r>
          </w:p>
        </w:tc>
      </w:tr>
      <w:tr w:rsidR="0040006F" w:rsidRPr="00D5469A" w:rsidTr="000E1EB2">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0E1EB2">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0E1EB2">
            <w:pPr>
              <w:rPr>
                <w:b/>
                <w:bCs/>
                <w:color w:val="auto"/>
                <w:szCs w:val="16"/>
              </w:rPr>
            </w:pPr>
            <w:r w:rsidRPr="00D5469A">
              <w:rPr>
                <w:b/>
                <w:bCs/>
                <w:color w:val="auto"/>
                <w:szCs w:val="16"/>
              </w:rPr>
              <w:t>Total</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103,038</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4,812</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107,849</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103,230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4,904</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108,134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4,774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1,367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6,141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4,767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1,607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6,374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98,263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3,445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101,708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98,463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3,297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101,760</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11,739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37,259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48,997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21,415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41,216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62,631</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3,519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11,873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15,392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17,277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13,493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30,770</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7,677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7,720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3,638</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527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25,245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25,772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505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27,477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27,982</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124</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0E1EB2" w:rsidRPr="00D5469A" w:rsidRDefault="000E1EB2" w:rsidP="000E1EB2">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sz w:val="14"/>
                <w:szCs w:val="14"/>
              </w:rPr>
            </w:pPr>
            <w:r>
              <w:rPr>
                <w:sz w:val="14"/>
                <w:szCs w:val="14"/>
              </w:rPr>
              <w:t>98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sz w:val="14"/>
                <w:szCs w:val="14"/>
              </w:rPr>
            </w:pPr>
            <w:r>
              <w:rPr>
                <w:sz w:val="14"/>
                <w:szCs w:val="14"/>
              </w:rPr>
              <w:t>116</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56,847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11,456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68,303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60,404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11,588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71,992</w:t>
            </w:r>
          </w:p>
        </w:tc>
      </w:tr>
      <w:tr w:rsidR="000E1EB2"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43</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0E1EB2" w:rsidRPr="00D5469A" w:rsidRDefault="000E1EB2" w:rsidP="000E1EB2">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737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757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0E1EB2" w:rsidRDefault="000E1EB2" w:rsidP="000E1EB2">
            <w:pPr>
              <w:jc w:val="right"/>
              <w:rPr>
                <w:b/>
                <w:bCs/>
                <w:sz w:val="14"/>
                <w:szCs w:val="14"/>
              </w:rPr>
            </w:pPr>
            <w:r>
              <w:rPr>
                <w:b/>
                <w:bCs/>
                <w:sz w:val="14"/>
                <w:szCs w:val="14"/>
              </w:rPr>
              <w:t>711</w:t>
            </w:r>
          </w:p>
        </w:tc>
      </w:tr>
      <w:tr w:rsidR="000E1EB2"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0E1EB2" w:rsidRPr="00D5469A" w:rsidRDefault="000E1EB2" w:rsidP="000E1EB2">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205,306</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12,577</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217,883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212,943</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13,130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226,073</w:t>
            </w:r>
          </w:p>
        </w:tc>
      </w:tr>
      <w:tr w:rsidR="000E1EB2"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0E1EB2" w:rsidRPr="00D5469A" w:rsidRDefault="000E1EB2" w:rsidP="000E1EB2">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377,709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66,124</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0E1EB2" w:rsidRDefault="000E1EB2" w:rsidP="000E1EB2">
            <w:pPr>
              <w:jc w:val="right"/>
              <w:rPr>
                <w:b/>
                <w:bCs/>
                <w:sz w:val="14"/>
                <w:szCs w:val="14"/>
              </w:rPr>
            </w:pPr>
            <w:r>
              <w:rPr>
                <w:b/>
                <w:bCs/>
                <w:sz w:val="14"/>
                <w:szCs w:val="14"/>
              </w:rPr>
              <w:t>443,833</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398,746</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70,838</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0E1EB2" w:rsidRDefault="000E1EB2" w:rsidP="000E1EB2">
            <w:pPr>
              <w:jc w:val="right"/>
              <w:rPr>
                <w:b/>
                <w:bCs/>
                <w:sz w:val="14"/>
                <w:szCs w:val="14"/>
              </w:rPr>
            </w:pPr>
            <w:r>
              <w:rPr>
                <w:b/>
                <w:bCs/>
                <w:sz w:val="14"/>
                <w:szCs w:val="14"/>
              </w:rPr>
              <w:t>469,584</w:t>
            </w:r>
          </w:p>
        </w:tc>
      </w:tr>
      <w:tr w:rsidR="00052B28"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052B28" w:rsidRDefault="00052B28" w:rsidP="000E1EB2">
            <w:pPr>
              <w:jc w:val="right"/>
              <w:rPr>
                <w:color w:val="auto"/>
                <w:sz w:val="12"/>
                <w:szCs w:val="16"/>
              </w:rPr>
            </w:pPr>
            <w:r>
              <w:rPr>
                <w:sz w:val="14"/>
                <w:szCs w:val="14"/>
              </w:rPr>
              <w:t>Source: Statistics &amp; Data Warehouse Department SBP</w:t>
            </w:r>
          </w:p>
          <w:p w:rsidR="00052B28" w:rsidRPr="009836DB" w:rsidRDefault="00052B28" w:rsidP="000E1EB2">
            <w:pPr>
              <w:jc w:val="left"/>
              <w:rPr>
                <w:color w:val="auto"/>
                <w:sz w:val="13"/>
                <w:szCs w:val="13"/>
              </w:rPr>
            </w:pPr>
            <w:r w:rsidRPr="009836DB">
              <w:rPr>
                <w:color w:val="auto"/>
                <w:sz w:val="13"/>
                <w:szCs w:val="13"/>
              </w:rPr>
              <w:t>* This includes Depository NBFCs, DFIs and MFIs.</w:t>
            </w:r>
          </w:p>
          <w:p w:rsidR="00052B28" w:rsidRPr="00D5469A" w:rsidRDefault="00052B28" w:rsidP="000E1EB2">
            <w:pPr>
              <w:jc w:val="left"/>
              <w:rPr>
                <w:color w:val="auto"/>
                <w:sz w:val="12"/>
                <w:szCs w:val="16"/>
              </w:rPr>
            </w:pPr>
            <w:r w:rsidRPr="009836DB">
              <w:rPr>
                <w:color w:val="auto"/>
                <w:sz w:val="13"/>
                <w:szCs w:val="13"/>
              </w:rPr>
              <w:t xml:space="preserve">** This includes </w:t>
            </w:r>
            <w:r w:rsidR="007031F4" w:rsidRPr="009836DB">
              <w:rPr>
                <w:color w:val="auto"/>
                <w:sz w:val="13"/>
                <w:szCs w:val="13"/>
              </w:rPr>
              <w:t>Non-Depository</w:t>
            </w:r>
            <w:r w:rsidRPr="009836DB">
              <w:rPr>
                <w:color w:val="auto"/>
                <w:sz w:val="13"/>
                <w:szCs w:val="13"/>
              </w:rPr>
              <w:t xml:space="preserve"> </w:t>
            </w:r>
            <w:r w:rsidR="009836DB" w:rsidRPr="009836DB">
              <w:rPr>
                <w:color w:val="auto"/>
                <w:sz w:val="13"/>
                <w:szCs w:val="13"/>
              </w:rPr>
              <w:t>NBFCs,</w:t>
            </w:r>
            <w:r w:rsidRPr="009836DB">
              <w:rPr>
                <w:color w:val="auto"/>
                <w:sz w:val="13"/>
                <w:szCs w:val="13"/>
              </w:rPr>
              <w:t xml:space="preserve">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0E1EB2"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0E1EB2" w:rsidRPr="00D5469A" w:rsidRDefault="000E1EB2" w:rsidP="000E1EB2">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Jun-19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Sep-19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Dec-19</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0E1EB2" w:rsidRPr="00D5469A" w:rsidRDefault="000E1EB2" w:rsidP="000E1EB2">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Jun-20</w:t>
            </w:r>
          </w:p>
        </w:tc>
        <w:tc>
          <w:tcPr>
            <w:tcW w:w="792" w:type="dxa"/>
            <w:tcBorders>
              <w:top w:val="single" w:sz="8" w:space="0" w:color="auto"/>
              <w:left w:val="single" w:sz="4" w:space="0" w:color="auto"/>
              <w:bottom w:val="single" w:sz="12" w:space="0" w:color="auto"/>
            </w:tcBorders>
            <w:shd w:val="clear" w:color="auto" w:fill="auto"/>
            <w:noWrap/>
            <w:vAlign w:val="center"/>
          </w:tcPr>
          <w:p w:rsidR="000E1EB2" w:rsidRPr="00D5469A" w:rsidRDefault="000E1EB2" w:rsidP="000E1EB2">
            <w:pPr>
              <w:jc w:val="right"/>
              <w:rPr>
                <w:b/>
                <w:bCs/>
                <w:color w:val="auto"/>
                <w:szCs w:val="22"/>
              </w:rPr>
            </w:pPr>
            <w:r>
              <w:rPr>
                <w:b/>
                <w:bCs/>
                <w:color w:val="auto"/>
                <w:szCs w:val="22"/>
              </w:rPr>
              <w:t>Sep-20</w:t>
            </w:r>
          </w:p>
        </w:tc>
      </w:tr>
      <w:tr w:rsidR="009731EB" w:rsidRPr="00D5469A" w:rsidTr="00DF4C38">
        <w:trPr>
          <w:trHeight w:hRule="exact" w:val="259"/>
        </w:trPr>
        <w:tc>
          <w:tcPr>
            <w:tcW w:w="4068" w:type="dxa"/>
            <w:tcBorders>
              <w:top w:val="single" w:sz="12" w:space="0" w:color="auto"/>
            </w:tcBorders>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96,681</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93,082</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105,948</w:t>
            </w:r>
          </w:p>
        </w:tc>
        <w:tc>
          <w:tcPr>
            <w:tcW w:w="99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118,538</w:t>
            </w:r>
          </w:p>
        </w:tc>
        <w:tc>
          <w:tcPr>
            <w:tcW w:w="792" w:type="dxa"/>
            <w:tcBorders>
              <w:top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127,031</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9731EB" w:rsidRDefault="009731EB" w:rsidP="009731EB">
            <w:pPr>
              <w:jc w:val="right"/>
              <w:rPr>
                <w:sz w:val="14"/>
                <w:szCs w:val="14"/>
              </w:rPr>
            </w:pPr>
            <w:r>
              <w:rPr>
                <w:sz w:val="14"/>
                <w:szCs w:val="14"/>
              </w:rPr>
              <w:t>16,315</w:t>
            </w:r>
          </w:p>
        </w:tc>
        <w:tc>
          <w:tcPr>
            <w:tcW w:w="900" w:type="dxa"/>
            <w:shd w:val="clear" w:color="auto" w:fill="auto"/>
            <w:noWrap/>
            <w:vAlign w:val="center"/>
          </w:tcPr>
          <w:p w:rsidR="009731EB" w:rsidRDefault="009731EB" w:rsidP="009731EB">
            <w:pPr>
              <w:jc w:val="right"/>
              <w:rPr>
                <w:sz w:val="14"/>
                <w:szCs w:val="14"/>
              </w:rPr>
            </w:pPr>
            <w:r>
              <w:rPr>
                <w:sz w:val="14"/>
                <w:szCs w:val="14"/>
              </w:rPr>
              <w:t>21,490</w:t>
            </w:r>
          </w:p>
        </w:tc>
        <w:tc>
          <w:tcPr>
            <w:tcW w:w="900" w:type="dxa"/>
            <w:shd w:val="clear" w:color="auto" w:fill="auto"/>
            <w:noWrap/>
            <w:vAlign w:val="center"/>
          </w:tcPr>
          <w:p w:rsidR="009731EB" w:rsidRDefault="009731EB" w:rsidP="009731EB">
            <w:pPr>
              <w:jc w:val="right"/>
              <w:rPr>
                <w:sz w:val="14"/>
                <w:szCs w:val="14"/>
              </w:rPr>
            </w:pPr>
            <w:r>
              <w:rPr>
                <w:sz w:val="14"/>
                <w:szCs w:val="14"/>
              </w:rPr>
              <w:t>22,638</w:t>
            </w:r>
          </w:p>
        </w:tc>
        <w:tc>
          <w:tcPr>
            <w:tcW w:w="990" w:type="dxa"/>
            <w:shd w:val="clear" w:color="auto" w:fill="auto"/>
            <w:noWrap/>
            <w:vAlign w:val="center"/>
          </w:tcPr>
          <w:p w:rsidR="009731EB" w:rsidRDefault="009731EB" w:rsidP="009731EB">
            <w:pPr>
              <w:jc w:val="right"/>
              <w:rPr>
                <w:sz w:val="14"/>
                <w:szCs w:val="14"/>
              </w:rPr>
            </w:pPr>
            <w:r>
              <w:rPr>
                <w:sz w:val="14"/>
                <w:szCs w:val="14"/>
              </w:rPr>
              <w:t>24,875</w:t>
            </w:r>
          </w:p>
        </w:tc>
        <w:tc>
          <w:tcPr>
            <w:tcW w:w="900" w:type="dxa"/>
            <w:shd w:val="clear" w:color="auto" w:fill="auto"/>
            <w:noWrap/>
            <w:vAlign w:val="center"/>
          </w:tcPr>
          <w:p w:rsidR="009731EB" w:rsidRDefault="009731EB" w:rsidP="009731EB">
            <w:pPr>
              <w:jc w:val="right"/>
              <w:rPr>
                <w:sz w:val="14"/>
                <w:szCs w:val="14"/>
              </w:rPr>
            </w:pPr>
            <w:r>
              <w:rPr>
                <w:sz w:val="14"/>
                <w:szCs w:val="14"/>
              </w:rPr>
              <w:t>28,487</w:t>
            </w:r>
          </w:p>
        </w:tc>
        <w:tc>
          <w:tcPr>
            <w:tcW w:w="792" w:type="dxa"/>
            <w:shd w:val="clear" w:color="auto" w:fill="auto"/>
            <w:noWrap/>
            <w:vAlign w:val="center"/>
          </w:tcPr>
          <w:p w:rsidR="009731EB" w:rsidRDefault="009731EB" w:rsidP="009731EB">
            <w:pPr>
              <w:jc w:val="right"/>
              <w:rPr>
                <w:sz w:val="14"/>
                <w:szCs w:val="14"/>
              </w:rPr>
            </w:pPr>
            <w:r>
              <w:rPr>
                <w:sz w:val="14"/>
                <w:szCs w:val="14"/>
              </w:rPr>
              <w:t>28,456</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9731EB" w:rsidRDefault="009731EB" w:rsidP="009731EB">
            <w:pPr>
              <w:jc w:val="right"/>
              <w:rPr>
                <w:sz w:val="14"/>
                <w:szCs w:val="14"/>
              </w:rPr>
            </w:pPr>
            <w:r>
              <w:rPr>
                <w:sz w:val="14"/>
                <w:szCs w:val="14"/>
              </w:rPr>
              <w:t>80,367</w:t>
            </w:r>
          </w:p>
        </w:tc>
        <w:tc>
          <w:tcPr>
            <w:tcW w:w="900" w:type="dxa"/>
            <w:shd w:val="clear" w:color="auto" w:fill="auto"/>
            <w:noWrap/>
            <w:vAlign w:val="center"/>
          </w:tcPr>
          <w:p w:rsidR="009731EB" w:rsidRDefault="009731EB" w:rsidP="009731EB">
            <w:pPr>
              <w:jc w:val="right"/>
              <w:rPr>
                <w:sz w:val="14"/>
                <w:szCs w:val="14"/>
              </w:rPr>
            </w:pPr>
            <w:r>
              <w:rPr>
                <w:sz w:val="14"/>
                <w:szCs w:val="14"/>
              </w:rPr>
              <w:t>71,591</w:t>
            </w:r>
          </w:p>
        </w:tc>
        <w:tc>
          <w:tcPr>
            <w:tcW w:w="900" w:type="dxa"/>
            <w:shd w:val="clear" w:color="auto" w:fill="auto"/>
            <w:noWrap/>
            <w:vAlign w:val="center"/>
          </w:tcPr>
          <w:p w:rsidR="009731EB" w:rsidRDefault="009731EB" w:rsidP="009731EB">
            <w:pPr>
              <w:jc w:val="right"/>
              <w:rPr>
                <w:sz w:val="14"/>
                <w:szCs w:val="14"/>
              </w:rPr>
            </w:pPr>
            <w:r>
              <w:rPr>
                <w:sz w:val="14"/>
                <w:szCs w:val="14"/>
              </w:rPr>
              <w:t>83,310</w:t>
            </w:r>
          </w:p>
        </w:tc>
        <w:tc>
          <w:tcPr>
            <w:tcW w:w="990" w:type="dxa"/>
            <w:shd w:val="clear" w:color="auto" w:fill="auto"/>
            <w:noWrap/>
            <w:vAlign w:val="center"/>
          </w:tcPr>
          <w:p w:rsidR="009731EB" w:rsidRDefault="009731EB" w:rsidP="009731EB">
            <w:pPr>
              <w:jc w:val="right"/>
              <w:rPr>
                <w:sz w:val="14"/>
                <w:szCs w:val="14"/>
              </w:rPr>
            </w:pPr>
            <w:r>
              <w:rPr>
                <w:sz w:val="14"/>
                <w:szCs w:val="14"/>
              </w:rPr>
              <w:t>73,892</w:t>
            </w:r>
          </w:p>
        </w:tc>
        <w:tc>
          <w:tcPr>
            <w:tcW w:w="900" w:type="dxa"/>
            <w:shd w:val="clear" w:color="auto" w:fill="auto"/>
            <w:noWrap/>
            <w:vAlign w:val="center"/>
          </w:tcPr>
          <w:p w:rsidR="009731EB" w:rsidRDefault="009731EB" w:rsidP="009731EB">
            <w:pPr>
              <w:jc w:val="right"/>
              <w:rPr>
                <w:sz w:val="14"/>
                <w:szCs w:val="14"/>
              </w:rPr>
            </w:pPr>
            <w:r>
              <w:rPr>
                <w:sz w:val="14"/>
                <w:szCs w:val="14"/>
              </w:rPr>
              <w:t>90,050</w:t>
            </w:r>
          </w:p>
        </w:tc>
        <w:tc>
          <w:tcPr>
            <w:tcW w:w="792" w:type="dxa"/>
            <w:shd w:val="clear" w:color="auto" w:fill="auto"/>
            <w:noWrap/>
            <w:vAlign w:val="center"/>
          </w:tcPr>
          <w:p w:rsidR="009731EB" w:rsidRDefault="009731EB" w:rsidP="009731EB">
            <w:pPr>
              <w:jc w:val="right"/>
              <w:rPr>
                <w:sz w:val="14"/>
                <w:szCs w:val="14"/>
              </w:rPr>
            </w:pPr>
            <w:r>
              <w:rPr>
                <w:sz w:val="14"/>
                <w:szCs w:val="14"/>
              </w:rPr>
              <w:t>98,575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30,655</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27,754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32,903</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36,991</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42,069</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52,525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9731EB" w:rsidRDefault="009731EB" w:rsidP="009731EB">
            <w:pPr>
              <w:jc w:val="right"/>
              <w:rPr>
                <w:sz w:val="14"/>
                <w:szCs w:val="14"/>
              </w:rPr>
            </w:pPr>
            <w:r>
              <w:rPr>
                <w:sz w:val="14"/>
                <w:szCs w:val="14"/>
              </w:rPr>
              <w:t>7,456</w:t>
            </w:r>
          </w:p>
        </w:tc>
        <w:tc>
          <w:tcPr>
            <w:tcW w:w="900" w:type="dxa"/>
            <w:shd w:val="clear" w:color="auto" w:fill="auto"/>
            <w:noWrap/>
            <w:vAlign w:val="center"/>
          </w:tcPr>
          <w:p w:rsidR="009731EB" w:rsidRDefault="009731EB" w:rsidP="009731EB">
            <w:pPr>
              <w:jc w:val="right"/>
              <w:rPr>
                <w:sz w:val="14"/>
                <w:szCs w:val="14"/>
              </w:rPr>
            </w:pPr>
            <w:r>
              <w:rPr>
                <w:sz w:val="14"/>
                <w:szCs w:val="14"/>
              </w:rPr>
              <w:t>9,329</w:t>
            </w:r>
          </w:p>
        </w:tc>
        <w:tc>
          <w:tcPr>
            <w:tcW w:w="900" w:type="dxa"/>
            <w:shd w:val="clear" w:color="auto" w:fill="auto"/>
            <w:noWrap/>
            <w:vAlign w:val="center"/>
          </w:tcPr>
          <w:p w:rsidR="009731EB" w:rsidRDefault="009731EB" w:rsidP="009731EB">
            <w:pPr>
              <w:jc w:val="right"/>
              <w:rPr>
                <w:sz w:val="14"/>
                <w:szCs w:val="14"/>
              </w:rPr>
            </w:pPr>
            <w:r>
              <w:rPr>
                <w:sz w:val="14"/>
                <w:szCs w:val="14"/>
              </w:rPr>
              <w:t>9,340</w:t>
            </w:r>
          </w:p>
        </w:tc>
        <w:tc>
          <w:tcPr>
            <w:tcW w:w="990" w:type="dxa"/>
            <w:shd w:val="clear" w:color="auto" w:fill="auto"/>
            <w:noWrap/>
            <w:vAlign w:val="center"/>
          </w:tcPr>
          <w:p w:rsidR="009731EB" w:rsidRDefault="009731EB" w:rsidP="009731EB">
            <w:pPr>
              <w:jc w:val="right"/>
              <w:rPr>
                <w:sz w:val="14"/>
                <w:szCs w:val="14"/>
              </w:rPr>
            </w:pPr>
            <w:r>
              <w:rPr>
                <w:sz w:val="14"/>
                <w:szCs w:val="14"/>
              </w:rPr>
              <w:t>10,472</w:t>
            </w:r>
          </w:p>
        </w:tc>
        <w:tc>
          <w:tcPr>
            <w:tcW w:w="900" w:type="dxa"/>
            <w:shd w:val="clear" w:color="auto" w:fill="auto"/>
            <w:noWrap/>
            <w:vAlign w:val="center"/>
          </w:tcPr>
          <w:p w:rsidR="009731EB" w:rsidRDefault="009731EB" w:rsidP="009731EB">
            <w:pPr>
              <w:jc w:val="right"/>
              <w:rPr>
                <w:sz w:val="14"/>
                <w:szCs w:val="14"/>
              </w:rPr>
            </w:pPr>
            <w:r>
              <w:rPr>
                <w:sz w:val="14"/>
                <w:szCs w:val="14"/>
              </w:rPr>
              <w:t>8,906</w:t>
            </w:r>
          </w:p>
        </w:tc>
        <w:tc>
          <w:tcPr>
            <w:tcW w:w="792" w:type="dxa"/>
            <w:shd w:val="clear" w:color="auto" w:fill="auto"/>
            <w:noWrap/>
            <w:vAlign w:val="center"/>
          </w:tcPr>
          <w:p w:rsidR="009731EB" w:rsidRDefault="009731EB" w:rsidP="009731EB">
            <w:pPr>
              <w:jc w:val="right"/>
              <w:rPr>
                <w:sz w:val="14"/>
                <w:szCs w:val="14"/>
              </w:rPr>
            </w:pPr>
            <w:r>
              <w:rPr>
                <w:sz w:val="14"/>
                <w:szCs w:val="14"/>
              </w:rPr>
              <w:t>9,044</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9731EB" w:rsidRDefault="009731EB" w:rsidP="009731EB">
            <w:pPr>
              <w:jc w:val="right"/>
              <w:rPr>
                <w:sz w:val="14"/>
                <w:szCs w:val="14"/>
              </w:rPr>
            </w:pPr>
            <w:r>
              <w:rPr>
                <w:sz w:val="14"/>
                <w:szCs w:val="14"/>
              </w:rPr>
              <w:t>15,703</w:t>
            </w:r>
          </w:p>
        </w:tc>
        <w:tc>
          <w:tcPr>
            <w:tcW w:w="900" w:type="dxa"/>
            <w:shd w:val="clear" w:color="auto" w:fill="auto"/>
            <w:noWrap/>
            <w:vAlign w:val="center"/>
          </w:tcPr>
          <w:p w:rsidR="009731EB" w:rsidRDefault="009731EB" w:rsidP="009731EB">
            <w:pPr>
              <w:jc w:val="right"/>
              <w:rPr>
                <w:sz w:val="14"/>
                <w:szCs w:val="14"/>
              </w:rPr>
            </w:pPr>
            <w:r>
              <w:rPr>
                <w:sz w:val="14"/>
                <w:szCs w:val="14"/>
              </w:rPr>
              <w:t>13,139</w:t>
            </w:r>
          </w:p>
        </w:tc>
        <w:tc>
          <w:tcPr>
            <w:tcW w:w="900" w:type="dxa"/>
            <w:shd w:val="clear" w:color="auto" w:fill="auto"/>
            <w:noWrap/>
            <w:vAlign w:val="center"/>
          </w:tcPr>
          <w:p w:rsidR="009731EB" w:rsidRDefault="009731EB" w:rsidP="009731EB">
            <w:pPr>
              <w:jc w:val="right"/>
              <w:rPr>
                <w:sz w:val="14"/>
                <w:szCs w:val="14"/>
              </w:rPr>
            </w:pPr>
            <w:r>
              <w:rPr>
                <w:sz w:val="14"/>
                <w:szCs w:val="14"/>
              </w:rPr>
              <w:t>16,765</w:t>
            </w:r>
          </w:p>
        </w:tc>
        <w:tc>
          <w:tcPr>
            <w:tcW w:w="990" w:type="dxa"/>
            <w:shd w:val="clear" w:color="auto" w:fill="auto"/>
            <w:noWrap/>
            <w:vAlign w:val="center"/>
          </w:tcPr>
          <w:p w:rsidR="009731EB" w:rsidRDefault="009731EB" w:rsidP="009731EB">
            <w:pPr>
              <w:jc w:val="right"/>
              <w:rPr>
                <w:sz w:val="14"/>
                <w:szCs w:val="14"/>
              </w:rPr>
            </w:pPr>
            <w:r>
              <w:rPr>
                <w:sz w:val="14"/>
                <w:szCs w:val="14"/>
              </w:rPr>
              <w:t>21,554</w:t>
            </w:r>
          </w:p>
        </w:tc>
        <w:tc>
          <w:tcPr>
            <w:tcW w:w="900" w:type="dxa"/>
            <w:shd w:val="clear" w:color="auto" w:fill="auto"/>
            <w:noWrap/>
            <w:vAlign w:val="center"/>
          </w:tcPr>
          <w:p w:rsidR="009731EB" w:rsidRDefault="009731EB" w:rsidP="009731EB">
            <w:pPr>
              <w:jc w:val="right"/>
              <w:rPr>
                <w:sz w:val="14"/>
                <w:szCs w:val="14"/>
              </w:rPr>
            </w:pPr>
            <w:r>
              <w:rPr>
                <w:sz w:val="14"/>
                <w:szCs w:val="14"/>
              </w:rPr>
              <w:t>27,642</w:t>
            </w:r>
          </w:p>
        </w:tc>
        <w:tc>
          <w:tcPr>
            <w:tcW w:w="792" w:type="dxa"/>
            <w:shd w:val="clear" w:color="auto" w:fill="auto"/>
            <w:noWrap/>
            <w:vAlign w:val="center"/>
          </w:tcPr>
          <w:p w:rsidR="009731EB" w:rsidRDefault="009731EB" w:rsidP="009731EB">
            <w:pPr>
              <w:jc w:val="right"/>
              <w:rPr>
                <w:sz w:val="14"/>
                <w:szCs w:val="14"/>
              </w:rPr>
            </w:pPr>
            <w:r>
              <w:rPr>
                <w:sz w:val="14"/>
                <w:szCs w:val="14"/>
              </w:rPr>
              <w:t>37,298</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9731EB" w:rsidRDefault="009731EB" w:rsidP="009731EB">
            <w:pPr>
              <w:jc w:val="right"/>
              <w:rPr>
                <w:sz w:val="14"/>
                <w:szCs w:val="14"/>
              </w:rPr>
            </w:pPr>
            <w:r>
              <w:rPr>
                <w:sz w:val="14"/>
                <w:szCs w:val="14"/>
              </w:rPr>
              <w:t>3,831</w:t>
            </w:r>
          </w:p>
        </w:tc>
        <w:tc>
          <w:tcPr>
            <w:tcW w:w="900" w:type="dxa"/>
            <w:shd w:val="clear" w:color="auto" w:fill="auto"/>
            <w:noWrap/>
            <w:vAlign w:val="center"/>
          </w:tcPr>
          <w:p w:rsidR="009731EB" w:rsidRDefault="009731EB" w:rsidP="009731EB">
            <w:pPr>
              <w:jc w:val="right"/>
              <w:rPr>
                <w:sz w:val="14"/>
                <w:szCs w:val="14"/>
              </w:rPr>
            </w:pPr>
            <w:r>
              <w:rPr>
                <w:sz w:val="14"/>
                <w:szCs w:val="14"/>
              </w:rPr>
              <w:t>2,658</w:t>
            </w:r>
          </w:p>
        </w:tc>
        <w:tc>
          <w:tcPr>
            <w:tcW w:w="900" w:type="dxa"/>
            <w:shd w:val="clear" w:color="auto" w:fill="auto"/>
            <w:noWrap/>
            <w:vAlign w:val="center"/>
          </w:tcPr>
          <w:p w:rsidR="009731EB" w:rsidRDefault="009731EB" w:rsidP="009731EB">
            <w:pPr>
              <w:jc w:val="right"/>
              <w:rPr>
                <w:sz w:val="14"/>
                <w:szCs w:val="14"/>
              </w:rPr>
            </w:pPr>
            <w:r>
              <w:rPr>
                <w:sz w:val="14"/>
                <w:szCs w:val="14"/>
              </w:rPr>
              <w:t>4,483</w:t>
            </w:r>
          </w:p>
        </w:tc>
        <w:tc>
          <w:tcPr>
            <w:tcW w:w="990" w:type="dxa"/>
            <w:shd w:val="clear" w:color="auto" w:fill="auto"/>
            <w:noWrap/>
            <w:vAlign w:val="center"/>
          </w:tcPr>
          <w:p w:rsidR="009731EB" w:rsidRDefault="009731EB" w:rsidP="009731EB">
            <w:pPr>
              <w:jc w:val="right"/>
              <w:rPr>
                <w:sz w:val="14"/>
                <w:szCs w:val="14"/>
              </w:rPr>
            </w:pPr>
            <w:r>
              <w:rPr>
                <w:sz w:val="14"/>
                <w:szCs w:val="14"/>
              </w:rPr>
              <w:t>2,822</w:t>
            </w:r>
          </w:p>
        </w:tc>
        <w:tc>
          <w:tcPr>
            <w:tcW w:w="900" w:type="dxa"/>
            <w:shd w:val="clear" w:color="auto" w:fill="auto"/>
            <w:noWrap/>
            <w:vAlign w:val="center"/>
          </w:tcPr>
          <w:p w:rsidR="009731EB" w:rsidRDefault="009731EB" w:rsidP="009731EB">
            <w:pPr>
              <w:jc w:val="right"/>
              <w:rPr>
                <w:sz w:val="14"/>
                <w:szCs w:val="14"/>
              </w:rPr>
            </w:pPr>
            <w:r>
              <w:rPr>
                <w:sz w:val="14"/>
                <w:szCs w:val="14"/>
              </w:rPr>
              <w:t>3,201</w:t>
            </w:r>
          </w:p>
        </w:tc>
        <w:tc>
          <w:tcPr>
            <w:tcW w:w="792" w:type="dxa"/>
            <w:shd w:val="clear" w:color="auto" w:fill="auto"/>
            <w:noWrap/>
            <w:vAlign w:val="center"/>
          </w:tcPr>
          <w:p w:rsidR="009731EB" w:rsidRDefault="009731EB" w:rsidP="009731EB">
            <w:pPr>
              <w:jc w:val="right"/>
              <w:rPr>
                <w:sz w:val="14"/>
                <w:szCs w:val="14"/>
              </w:rPr>
            </w:pPr>
            <w:r>
              <w:rPr>
                <w:sz w:val="14"/>
                <w:szCs w:val="14"/>
              </w:rPr>
              <w:t>3,737</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9731EB" w:rsidRDefault="009731EB" w:rsidP="009731EB">
            <w:pPr>
              <w:jc w:val="right"/>
              <w:rPr>
                <w:sz w:val="14"/>
                <w:szCs w:val="14"/>
              </w:rPr>
            </w:pPr>
            <w:r>
              <w:rPr>
                <w:sz w:val="14"/>
                <w:szCs w:val="14"/>
              </w:rPr>
              <w:t>25</w:t>
            </w:r>
          </w:p>
        </w:tc>
        <w:tc>
          <w:tcPr>
            <w:tcW w:w="900" w:type="dxa"/>
            <w:shd w:val="clear" w:color="auto" w:fill="auto"/>
            <w:noWrap/>
            <w:vAlign w:val="center"/>
          </w:tcPr>
          <w:p w:rsidR="009731EB" w:rsidRDefault="009731EB" w:rsidP="009731EB">
            <w:pPr>
              <w:jc w:val="right"/>
              <w:rPr>
                <w:sz w:val="14"/>
                <w:szCs w:val="14"/>
              </w:rPr>
            </w:pPr>
            <w:r>
              <w:rPr>
                <w:sz w:val="14"/>
                <w:szCs w:val="14"/>
              </w:rPr>
              <w:t>26</w:t>
            </w:r>
          </w:p>
        </w:tc>
        <w:tc>
          <w:tcPr>
            <w:tcW w:w="900" w:type="dxa"/>
            <w:shd w:val="clear" w:color="auto" w:fill="auto"/>
            <w:noWrap/>
            <w:vAlign w:val="center"/>
          </w:tcPr>
          <w:p w:rsidR="009731EB" w:rsidRDefault="009731EB" w:rsidP="009731EB">
            <w:pPr>
              <w:jc w:val="right"/>
              <w:rPr>
                <w:sz w:val="14"/>
                <w:szCs w:val="14"/>
              </w:rPr>
            </w:pPr>
            <w:r>
              <w:rPr>
                <w:sz w:val="14"/>
                <w:szCs w:val="14"/>
              </w:rPr>
              <w:t>26</w:t>
            </w:r>
          </w:p>
        </w:tc>
        <w:tc>
          <w:tcPr>
            <w:tcW w:w="990" w:type="dxa"/>
            <w:shd w:val="clear" w:color="auto" w:fill="auto"/>
            <w:noWrap/>
            <w:vAlign w:val="center"/>
          </w:tcPr>
          <w:p w:rsidR="009731EB" w:rsidRDefault="009731EB" w:rsidP="009731EB">
            <w:pPr>
              <w:jc w:val="right"/>
              <w:rPr>
                <w:sz w:val="14"/>
                <w:szCs w:val="14"/>
              </w:rPr>
            </w:pPr>
            <w:r>
              <w:rPr>
                <w:sz w:val="14"/>
                <w:szCs w:val="14"/>
              </w:rPr>
              <w:t>4</w:t>
            </w:r>
          </w:p>
        </w:tc>
        <w:tc>
          <w:tcPr>
            <w:tcW w:w="900" w:type="dxa"/>
            <w:shd w:val="clear" w:color="auto" w:fill="auto"/>
            <w:noWrap/>
            <w:vAlign w:val="center"/>
          </w:tcPr>
          <w:p w:rsidR="009731EB" w:rsidRDefault="009731EB" w:rsidP="009731EB">
            <w:pPr>
              <w:jc w:val="right"/>
              <w:rPr>
                <w:sz w:val="14"/>
                <w:szCs w:val="14"/>
              </w:rPr>
            </w:pPr>
            <w:r>
              <w:rPr>
                <w:sz w:val="14"/>
                <w:szCs w:val="14"/>
              </w:rPr>
              <w:t>3</w:t>
            </w:r>
          </w:p>
        </w:tc>
        <w:tc>
          <w:tcPr>
            <w:tcW w:w="792" w:type="dxa"/>
            <w:shd w:val="clear" w:color="auto" w:fill="auto"/>
            <w:noWrap/>
            <w:vAlign w:val="center"/>
          </w:tcPr>
          <w:p w:rsidR="009731EB" w:rsidRDefault="009731EB" w:rsidP="009731EB">
            <w:pPr>
              <w:jc w:val="right"/>
              <w:rPr>
                <w:sz w:val="14"/>
                <w:szCs w:val="14"/>
              </w:rPr>
            </w:pPr>
            <w:r>
              <w:rPr>
                <w:sz w:val="14"/>
                <w:szCs w:val="14"/>
              </w:rPr>
              <w:t>2</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9731EB" w:rsidRDefault="009731EB" w:rsidP="009731EB">
            <w:pPr>
              <w:jc w:val="right"/>
              <w:rPr>
                <w:sz w:val="14"/>
                <w:szCs w:val="14"/>
              </w:rPr>
            </w:pPr>
            <w:r>
              <w:rPr>
                <w:sz w:val="14"/>
                <w:szCs w:val="14"/>
              </w:rPr>
              <w:t>3,640</w:t>
            </w:r>
          </w:p>
        </w:tc>
        <w:tc>
          <w:tcPr>
            <w:tcW w:w="900" w:type="dxa"/>
            <w:shd w:val="clear" w:color="auto" w:fill="auto"/>
            <w:noWrap/>
            <w:vAlign w:val="center"/>
          </w:tcPr>
          <w:p w:rsidR="009731EB" w:rsidRDefault="009731EB" w:rsidP="009731EB">
            <w:pPr>
              <w:jc w:val="right"/>
              <w:rPr>
                <w:sz w:val="14"/>
                <w:szCs w:val="14"/>
              </w:rPr>
            </w:pPr>
            <w:r>
              <w:rPr>
                <w:sz w:val="14"/>
                <w:szCs w:val="14"/>
              </w:rPr>
              <w:t>2,601</w:t>
            </w:r>
          </w:p>
        </w:tc>
        <w:tc>
          <w:tcPr>
            <w:tcW w:w="900" w:type="dxa"/>
            <w:shd w:val="clear" w:color="auto" w:fill="auto"/>
            <w:noWrap/>
            <w:vAlign w:val="center"/>
          </w:tcPr>
          <w:p w:rsidR="009731EB" w:rsidRDefault="009731EB" w:rsidP="009731EB">
            <w:pPr>
              <w:jc w:val="right"/>
              <w:rPr>
                <w:sz w:val="14"/>
                <w:szCs w:val="14"/>
              </w:rPr>
            </w:pPr>
            <w:r>
              <w:rPr>
                <w:sz w:val="14"/>
                <w:szCs w:val="14"/>
              </w:rPr>
              <w:t>2,290</w:t>
            </w:r>
          </w:p>
        </w:tc>
        <w:tc>
          <w:tcPr>
            <w:tcW w:w="990" w:type="dxa"/>
            <w:shd w:val="clear" w:color="auto" w:fill="auto"/>
            <w:noWrap/>
            <w:vAlign w:val="center"/>
          </w:tcPr>
          <w:p w:rsidR="009731EB" w:rsidRDefault="009731EB" w:rsidP="009731EB">
            <w:pPr>
              <w:jc w:val="right"/>
              <w:rPr>
                <w:sz w:val="14"/>
                <w:szCs w:val="14"/>
              </w:rPr>
            </w:pPr>
            <w:r>
              <w:rPr>
                <w:sz w:val="14"/>
                <w:szCs w:val="14"/>
              </w:rPr>
              <w:t>2,140</w:t>
            </w:r>
          </w:p>
        </w:tc>
        <w:tc>
          <w:tcPr>
            <w:tcW w:w="900" w:type="dxa"/>
            <w:shd w:val="clear" w:color="auto" w:fill="auto"/>
            <w:noWrap/>
            <w:vAlign w:val="center"/>
          </w:tcPr>
          <w:p w:rsidR="009731EB" w:rsidRDefault="009731EB" w:rsidP="009731EB">
            <w:pPr>
              <w:jc w:val="right"/>
              <w:rPr>
                <w:sz w:val="14"/>
                <w:szCs w:val="14"/>
              </w:rPr>
            </w:pPr>
            <w:r>
              <w:rPr>
                <w:sz w:val="14"/>
                <w:szCs w:val="14"/>
              </w:rPr>
              <w:t>2,318</w:t>
            </w:r>
          </w:p>
        </w:tc>
        <w:tc>
          <w:tcPr>
            <w:tcW w:w="792" w:type="dxa"/>
            <w:shd w:val="clear" w:color="auto" w:fill="auto"/>
            <w:noWrap/>
            <w:vAlign w:val="center"/>
          </w:tcPr>
          <w:p w:rsidR="009731EB" w:rsidRDefault="009731EB" w:rsidP="009731EB">
            <w:pPr>
              <w:jc w:val="right"/>
              <w:rPr>
                <w:sz w:val="14"/>
                <w:szCs w:val="14"/>
              </w:rPr>
            </w:pPr>
            <w:r>
              <w:rPr>
                <w:sz w:val="14"/>
                <w:szCs w:val="14"/>
              </w:rPr>
              <w:t>2,445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1,116</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614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614</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1,007</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1,009</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1,005</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2,844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3,034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2,718</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2,577</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1,983</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2,619</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64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64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305</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308</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343</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331</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136,210</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138,979</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151,032</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153,275</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170,386</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181,783</w:t>
            </w:r>
          </w:p>
        </w:tc>
      </w:tr>
      <w:tr w:rsidR="009731EB" w:rsidRPr="00D5469A" w:rsidTr="00DF4C38">
        <w:trPr>
          <w:trHeight w:hRule="exact" w:val="288"/>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16,824</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17,468</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17,656</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15,586</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13,040</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20,170</w:t>
            </w:r>
          </w:p>
        </w:tc>
      </w:tr>
      <w:tr w:rsidR="009731EB" w:rsidRPr="00D5469A" w:rsidTr="00DF4C38">
        <w:trPr>
          <w:trHeight w:hRule="exact" w:val="259"/>
        </w:trPr>
        <w:tc>
          <w:tcPr>
            <w:tcW w:w="4068" w:type="dxa"/>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990" w:type="dxa"/>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shd w:val="clear" w:color="auto" w:fill="auto"/>
            <w:noWrap/>
            <w:vAlign w:val="center"/>
          </w:tcPr>
          <w:p w:rsidR="009731EB" w:rsidRDefault="009731EB" w:rsidP="009731EB">
            <w:pPr>
              <w:jc w:val="right"/>
              <w:rPr>
                <w:b/>
                <w:bCs/>
                <w:sz w:val="14"/>
                <w:szCs w:val="14"/>
              </w:rPr>
            </w:pPr>
            <w:r>
              <w:rPr>
                <w:b/>
                <w:bCs/>
                <w:sz w:val="14"/>
                <w:szCs w:val="14"/>
              </w:rPr>
              <w:t>-</w:t>
            </w:r>
          </w:p>
        </w:tc>
        <w:tc>
          <w:tcPr>
            <w:tcW w:w="792" w:type="dxa"/>
            <w:shd w:val="clear" w:color="auto" w:fill="auto"/>
            <w:noWrap/>
            <w:vAlign w:val="center"/>
          </w:tcPr>
          <w:p w:rsidR="009731EB" w:rsidRDefault="009731EB" w:rsidP="009731EB">
            <w:pPr>
              <w:jc w:val="right"/>
              <w:rPr>
                <w:b/>
                <w:bCs/>
                <w:sz w:val="14"/>
                <w:szCs w:val="14"/>
              </w:rPr>
            </w:pPr>
            <w:r>
              <w:rPr>
                <w:b/>
                <w:bCs/>
                <w:sz w:val="14"/>
                <w:szCs w:val="14"/>
              </w:rPr>
              <w:t>-</w:t>
            </w:r>
          </w:p>
        </w:tc>
      </w:tr>
      <w:tr w:rsidR="009731EB" w:rsidRPr="00D5469A" w:rsidTr="00DF4C38">
        <w:trPr>
          <w:trHeight w:hRule="exact" w:val="259"/>
        </w:trPr>
        <w:tc>
          <w:tcPr>
            <w:tcW w:w="4068" w:type="dxa"/>
            <w:tcBorders>
              <w:bottom w:val="single" w:sz="12" w:space="0" w:color="auto"/>
            </w:tcBorders>
            <w:shd w:val="clear" w:color="auto" w:fill="auto"/>
            <w:noWrap/>
            <w:vAlign w:val="center"/>
          </w:tcPr>
          <w:p w:rsidR="009731EB" w:rsidRPr="00D5469A" w:rsidRDefault="009731EB" w:rsidP="009731EB">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w:t>
            </w:r>
          </w:p>
        </w:tc>
      </w:tr>
      <w:tr w:rsidR="009731EB"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9731EB" w:rsidRPr="00D5469A" w:rsidRDefault="009731EB" w:rsidP="009731EB">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284,394</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280,995</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311,176</w:t>
            </w:r>
          </w:p>
        </w:tc>
        <w:tc>
          <w:tcPr>
            <w:tcW w:w="99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347,368</w:t>
            </w:r>
          </w:p>
        </w:tc>
        <w:tc>
          <w:tcPr>
            <w:tcW w:w="792" w:type="dxa"/>
            <w:tcBorders>
              <w:top w:val="single" w:sz="12" w:space="0" w:color="auto"/>
              <w:bottom w:val="single" w:sz="12" w:space="0" w:color="auto"/>
            </w:tcBorders>
            <w:shd w:val="clear" w:color="auto" w:fill="auto"/>
            <w:noWrap/>
            <w:vAlign w:val="center"/>
          </w:tcPr>
          <w:p w:rsidR="009731EB" w:rsidRDefault="009731EB" w:rsidP="009731EB">
            <w:pPr>
              <w:jc w:val="right"/>
              <w:rPr>
                <w:b/>
                <w:bCs/>
                <w:sz w:val="14"/>
                <w:szCs w:val="14"/>
              </w:rPr>
            </w:pPr>
            <w:r>
              <w:rPr>
                <w:b/>
                <w:bCs/>
                <w:sz w:val="14"/>
                <w:szCs w:val="14"/>
              </w:rPr>
              <w:t>385,465</w:t>
            </w:r>
          </w:p>
        </w:tc>
      </w:tr>
      <w:tr w:rsidR="000E1EB2" w:rsidRPr="00D5469A" w:rsidTr="007B3B61">
        <w:trPr>
          <w:trHeight w:val="216"/>
        </w:trPr>
        <w:tc>
          <w:tcPr>
            <w:tcW w:w="9720" w:type="dxa"/>
            <w:gridSpan w:val="7"/>
            <w:tcBorders>
              <w:top w:val="single" w:sz="12" w:space="0" w:color="auto"/>
            </w:tcBorders>
            <w:shd w:val="clear" w:color="auto" w:fill="auto"/>
            <w:noWrap/>
            <w:vAlign w:val="center"/>
          </w:tcPr>
          <w:p w:rsidR="000E1EB2" w:rsidRPr="00D5469A" w:rsidRDefault="000E1EB2" w:rsidP="000E1EB2">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0E1EB2"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r w:rsidRPr="00D5469A">
              <w:rPr>
                <w:b/>
                <w:bCs/>
                <w:color w:val="auto"/>
                <w:szCs w:val="16"/>
              </w:rPr>
              <w:t>SECURITIES</w:t>
            </w:r>
          </w:p>
          <w:p w:rsidR="000E1EB2" w:rsidRPr="00D5469A" w:rsidRDefault="000E1EB2" w:rsidP="000E1EB2">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0E1EB2" w:rsidRPr="00D5469A" w:rsidRDefault="000E1EB2" w:rsidP="000E1EB2">
            <w:pPr>
              <w:rPr>
                <w:b/>
                <w:color w:val="auto"/>
                <w:szCs w:val="16"/>
              </w:rPr>
            </w:pPr>
            <w:r>
              <w:rPr>
                <w:b/>
                <w:color w:val="auto"/>
                <w:szCs w:val="16"/>
              </w:rPr>
              <w:t>Jun</w:t>
            </w:r>
            <w:r w:rsidRPr="00D5469A">
              <w:rPr>
                <w:b/>
                <w:color w:val="auto"/>
                <w:szCs w:val="16"/>
              </w:rPr>
              <w:t>-</w:t>
            </w:r>
            <w:r>
              <w:rPr>
                <w:b/>
                <w:color w:val="auto"/>
                <w:szCs w:val="16"/>
              </w:rPr>
              <w:t>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0E1EB2" w:rsidRPr="00D5469A" w:rsidRDefault="000E1EB2" w:rsidP="000E1EB2">
            <w:pPr>
              <w:rPr>
                <w:b/>
                <w:color w:val="auto"/>
                <w:szCs w:val="16"/>
              </w:rPr>
            </w:pPr>
            <w:r>
              <w:rPr>
                <w:b/>
                <w:bCs/>
                <w:color w:val="auto"/>
                <w:szCs w:val="22"/>
              </w:rPr>
              <w:t>Sep-20</w:t>
            </w:r>
          </w:p>
        </w:tc>
      </w:tr>
      <w:tr w:rsidR="000E1EB2"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0E1EB2" w:rsidRPr="00D5469A" w:rsidRDefault="000E1EB2" w:rsidP="000E1EB2">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0E1EB2" w:rsidRPr="00D5469A" w:rsidRDefault="000E1EB2" w:rsidP="000E1EB2">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Non-</w:t>
            </w:r>
          </w:p>
          <w:p w:rsidR="000E1EB2" w:rsidRPr="00D5469A" w:rsidRDefault="000E1EB2" w:rsidP="000E1EB2">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0E1EB2" w:rsidRPr="00D5469A" w:rsidRDefault="000E1EB2" w:rsidP="000E1EB2">
            <w:pPr>
              <w:rPr>
                <w:b/>
                <w:color w:val="auto"/>
                <w:szCs w:val="16"/>
              </w:rPr>
            </w:pPr>
            <w:r w:rsidRPr="00D5469A">
              <w:rPr>
                <w:b/>
                <w:color w:val="auto"/>
                <w:szCs w:val="16"/>
              </w:rPr>
              <w:t>Total</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341,843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171,561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513,404</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311,999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165,813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477,813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15,142</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36,234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51,376</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18,223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35,039</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53,262</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2,858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14,782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17,640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5,815</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15,240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21,054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12,284</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21,452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33,736</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12,408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19,800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32,208</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21,760</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42,871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64,631</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19,789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42,830</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62,620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13,901</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11,214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25,114</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13,503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12,574</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26,078</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7,103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6,907</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14,010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4,868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7,503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12,370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756</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24,751</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25,507</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1,419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22,753</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24,172</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304,941</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92,347</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397,289</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273,987</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87,076</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361,063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108</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861</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861</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39,528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236,580</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276,108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41,317</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280,632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321,949</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10,578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221,045</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231,623</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10,730</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258,287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269,017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1,595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141,053</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142,648</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1,551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165,986</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167,537</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8,983</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79,992</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88,975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9,179</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92,301</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101,480</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28,005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15,444</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43,449</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29,651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22,254</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51,905</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20,505</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1,665</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22,170</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21,808</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2,267</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24,074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1,356</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1,779</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3,135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1,356</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2,268</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3,624</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3,958</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11,563</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15,521</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4,202</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17,212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21,415</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1,897</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1,897</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2,003</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25</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2,029</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289</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436</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725</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281</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482</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sz w:val="14"/>
                <w:szCs w:val="14"/>
              </w:rPr>
            </w:pPr>
            <w:r>
              <w:rPr>
                <w:sz w:val="14"/>
                <w:szCs w:val="14"/>
              </w:rPr>
              <w:t>763</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w:t>
            </w:r>
          </w:p>
        </w:tc>
      </w:tr>
      <w:tr w:rsidR="000E1EB2"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0E1EB2" w:rsidRPr="00D5469A" w:rsidRDefault="000E1EB2" w:rsidP="000E1EB2">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944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1,035</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936</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91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0E1EB2" w:rsidRDefault="000E1EB2" w:rsidP="000E1EB2">
            <w:pPr>
              <w:jc w:val="right"/>
              <w:rPr>
                <w:b/>
                <w:bCs/>
                <w:sz w:val="14"/>
                <w:szCs w:val="14"/>
              </w:rPr>
            </w:pPr>
            <w:r>
              <w:rPr>
                <w:b/>
                <w:bCs/>
                <w:sz w:val="14"/>
                <w:szCs w:val="14"/>
              </w:rPr>
              <w:t>1,028</w:t>
            </w:r>
          </w:p>
        </w:tc>
      </w:tr>
      <w:tr w:rsidR="000E1EB2"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0E1EB2" w:rsidRPr="00D5469A" w:rsidRDefault="000E1EB2" w:rsidP="000E1EB2">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381,371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408,141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789,511</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353,316</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446,445</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E1EB2" w:rsidRDefault="000E1EB2" w:rsidP="000E1EB2">
            <w:pPr>
              <w:jc w:val="right"/>
              <w:rPr>
                <w:b/>
                <w:bCs/>
                <w:sz w:val="14"/>
                <w:szCs w:val="14"/>
              </w:rPr>
            </w:pPr>
            <w:r>
              <w:rPr>
                <w:b/>
                <w:bCs/>
                <w:sz w:val="14"/>
                <w:szCs w:val="14"/>
              </w:rPr>
              <w:t>799,762</w:t>
            </w:r>
          </w:p>
        </w:tc>
      </w:tr>
      <w:tr w:rsidR="000E1EB2" w:rsidRPr="00D5469A" w:rsidTr="007828BE">
        <w:trPr>
          <w:trHeight w:hRule="exact" w:val="247"/>
        </w:trPr>
        <w:tc>
          <w:tcPr>
            <w:tcW w:w="10008" w:type="dxa"/>
            <w:gridSpan w:val="7"/>
            <w:tcBorders>
              <w:top w:val="single" w:sz="12" w:space="0" w:color="auto"/>
            </w:tcBorders>
            <w:shd w:val="clear" w:color="auto" w:fill="auto"/>
            <w:noWrap/>
            <w:vAlign w:val="center"/>
          </w:tcPr>
          <w:p w:rsidR="000E1EB2" w:rsidRPr="00D5469A" w:rsidRDefault="000E1EB2" w:rsidP="000E1EB2">
            <w:pPr>
              <w:jc w:val="right"/>
              <w:rPr>
                <w:color w:val="auto"/>
                <w:sz w:val="12"/>
                <w:szCs w:val="16"/>
              </w:rPr>
            </w:pPr>
            <w:r>
              <w:rPr>
                <w:sz w:val="14"/>
                <w:szCs w:val="14"/>
              </w:rPr>
              <w:t>Source: Statistics &amp; Data Warehouse Department SBP</w:t>
            </w:r>
          </w:p>
        </w:tc>
      </w:tr>
      <w:tr w:rsidR="000E1EB2" w:rsidRPr="00D5469A" w:rsidTr="007828BE">
        <w:trPr>
          <w:trHeight w:hRule="exact" w:val="235"/>
        </w:trPr>
        <w:tc>
          <w:tcPr>
            <w:tcW w:w="10008" w:type="dxa"/>
            <w:gridSpan w:val="7"/>
            <w:shd w:val="clear" w:color="auto" w:fill="auto"/>
            <w:noWrap/>
            <w:vAlign w:val="center"/>
          </w:tcPr>
          <w:p w:rsidR="000E1EB2" w:rsidRPr="009836DB" w:rsidRDefault="000E1EB2" w:rsidP="000E1EB2">
            <w:pPr>
              <w:jc w:val="left"/>
              <w:rPr>
                <w:color w:val="auto"/>
                <w:sz w:val="13"/>
                <w:szCs w:val="13"/>
              </w:rPr>
            </w:pPr>
            <w:r w:rsidRPr="009836DB">
              <w:rPr>
                <w:color w:val="auto"/>
                <w:sz w:val="13"/>
                <w:szCs w:val="13"/>
              </w:rPr>
              <w:t>* This includes Depository NBFCs, DFIs and MFIs.</w:t>
            </w:r>
          </w:p>
        </w:tc>
      </w:tr>
      <w:tr w:rsidR="000E1EB2" w:rsidRPr="00D5469A" w:rsidTr="007828BE">
        <w:trPr>
          <w:trHeight w:hRule="exact" w:val="235"/>
        </w:trPr>
        <w:tc>
          <w:tcPr>
            <w:tcW w:w="10008" w:type="dxa"/>
            <w:gridSpan w:val="7"/>
            <w:shd w:val="clear" w:color="auto" w:fill="auto"/>
            <w:noWrap/>
            <w:vAlign w:val="center"/>
          </w:tcPr>
          <w:p w:rsidR="000E1EB2" w:rsidRPr="009836DB" w:rsidRDefault="000E1EB2" w:rsidP="000E1EB2">
            <w:pPr>
              <w:jc w:val="left"/>
              <w:rPr>
                <w:color w:val="auto"/>
                <w:sz w:val="13"/>
                <w:szCs w:val="13"/>
              </w:rPr>
            </w:pPr>
            <w:r w:rsidRPr="009836DB">
              <w:rPr>
                <w:color w:val="auto"/>
                <w:sz w:val="13"/>
                <w:szCs w:val="13"/>
              </w:rPr>
              <w:t xml:space="preserve">** This includes </w:t>
            </w:r>
            <w:r w:rsidR="009836DB" w:rsidRPr="009836DB">
              <w:rPr>
                <w:color w:val="auto"/>
                <w:sz w:val="13"/>
                <w:szCs w:val="13"/>
              </w:rPr>
              <w:t>Non-Depository</w:t>
            </w:r>
            <w:r w:rsidRPr="009836DB">
              <w:rPr>
                <w:color w:val="auto"/>
                <w:sz w:val="13"/>
                <w:szCs w:val="13"/>
              </w:rPr>
              <w:t xml:space="preserve">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C5" w:rsidRDefault="00DF36C5">
      <w:r>
        <w:separator/>
      </w:r>
    </w:p>
  </w:endnote>
  <w:endnote w:type="continuationSeparator" w:id="0">
    <w:p w:rsidR="00DF36C5" w:rsidRDefault="00DF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1A" w:rsidRDefault="007168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71681A" w:rsidRDefault="0071681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1A" w:rsidRPr="008961D3" w:rsidRDefault="0071681A"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C3E3E">
      <w:rPr>
        <w:noProof/>
        <w:sz w:val="20"/>
      </w:rPr>
      <w:t>12</w:t>
    </w:r>
    <w:r w:rsidRPr="008961D3">
      <w:rPr>
        <w:sz w:val="20"/>
      </w:rPr>
      <w:fldChar w:fldCharType="end"/>
    </w:r>
  </w:p>
  <w:p w:rsidR="0071681A" w:rsidRPr="008961D3" w:rsidRDefault="0071681A">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C5" w:rsidRDefault="00DF36C5">
      <w:r>
        <w:separator/>
      </w:r>
    </w:p>
  </w:footnote>
  <w:footnote w:type="continuationSeparator" w:id="0">
    <w:p w:rsidR="00DF36C5" w:rsidRDefault="00DF3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6E4"/>
    <w:rsid w:val="00001CA1"/>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6066"/>
    <w:rsid w:val="0029645B"/>
    <w:rsid w:val="002966F8"/>
    <w:rsid w:val="00296C01"/>
    <w:rsid w:val="00297460"/>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6846"/>
    <w:rsid w:val="00D57293"/>
    <w:rsid w:val="00D579E8"/>
    <w:rsid w:val="00D601BF"/>
    <w:rsid w:val="00D60B56"/>
    <w:rsid w:val="00D60CAA"/>
    <w:rsid w:val="00D611BE"/>
    <w:rsid w:val="00D61356"/>
    <w:rsid w:val="00D6165D"/>
    <w:rsid w:val="00D625D6"/>
    <w:rsid w:val="00D62993"/>
    <w:rsid w:val="00D62B40"/>
    <w:rsid w:val="00D62D83"/>
    <w:rsid w:val="00D63291"/>
    <w:rsid w:val="00D63A25"/>
    <w:rsid w:val="00D63FF6"/>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287C7"/>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69E33-8E32-4CAB-9258-B7814960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9608</Words>
  <Characters>54766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64246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13</cp:revision>
  <cp:lastPrinted>2021-04-02T11:56:00Z</cp:lastPrinted>
  <dcterms:created xsi:type="dcterms:W3CDTF">2021-04-01T05:10:00Z</dcterms:created>
  <dcterms:modified xsi:type="dcterms:W3CDTF">2021-04-05T06:26:00Z</dcterms:modified>
</cp:coreProperties>
</file>