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D6" w:rsidRDefault="00F46CD6" w:rsidP="0069571C">
      <w:pPr>
        <w:jc w:val="left"/>
        <w:rPr>
          <w:color w:val="auto"/>
        </w:rPr>
      </w:pPr>
      <w:bookmarkStart w:id="0" w:name="_GoBack"/>
      <w:bookmarkEnd w:id="0"/>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24A1C"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24A1C" w:rsidRPr="00FA2FBA" w:rsidRDefault="00C24A1C"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24A1C" w:rsidRPr="00FA2FBA" w:rsidRDefault="00C24A1C"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2020</w:t>
            </w:r>
          </w:p>
        </w:tc>
      </w:tr>
      <w:tr w:rsidR="00C81E06"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81E06" w:rsidRPr="00FA2FBA" w:rsidRDefault="00C81E06" w:rsidP="00C81E06">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012B38" w:rsidRPr="00FA2FBA" w:rsidTr="003B4E74">
        <w:trPr>
          <w:trHeight w:val="312"/>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(493,989)</w:t>
            </w:r>
          </w:p>
        </w:tc>
        <w:tc>
          <w:tcPr>
            <w:tcW w:w="810" w:type="dxa"/>
            <w:tcBorders>
              <w:top w:val="single" w:sz="12" w:space="0" w:color="auto"/>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210,183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412,852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109,865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445,012</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2,263,020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3,174,204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3,273,500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3,013,865</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3,407,433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398,130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468,625</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557,367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566,759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585,912</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617,495</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50,029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55,564</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35,247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32,925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27,964</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29,537</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54,577</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78,271</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92,066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88,333</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82,844</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63,690</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1,190,376</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1,087,359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1,190,376</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1,841,436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1,952,977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1,676,798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2,036,193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165,125</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250,689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165,125</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175,701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174,390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173,124</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178,397</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3,627</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670</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272</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469,969</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422,236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469,969</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472,266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456,829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466,553</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481,849</w:t>
            </w:r>
          </w:p>
        </w:tc>
      </w:tr>
      <w:tr w:rsidR="00012B38" w:rsidRPr="006764F7"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i/>
                <w:iCs/>
                <w:sz w:val="14"/>
                <w:szCs w:val="14"/>
              </w:rPr>
            </w:pPr>
            <w:r>
              <w:rPr>
                <w:i/>
                <w:iCs/>
                <w:sz w:val="14"/>
                <w:szCs w:val="14"/>
              </w:rPr>
              <w:t>414,249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i/>
                <w:iCs/>
                <w:sz w:val="14"/>
                <w:szCs w:val="14"/>
              </w:rPr>
            </w:pPr>
            <w:r>
              <w:rPr>
                <w:i/>
                <w:iCs/>
                <w:sz w:val="14"/>
                <w:szCs w:val="14"/>
              </w:rPr>
              <w:t>461,250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i/>
                <w:iCs/>
                <w:sz w:val="14"/>
                <w:szCs w:val="14"/>
              </w:rPr>
            </w:pPr>
            <w:r>
              <w:rPr>
                <w:i/>
                <w:iCs/>
                <w:sz w:val="14"/>
                <w:szCs w:val="14"/>
              </w:rPr>
              <w:t>445,662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i/>
                <w:iCs/>
                <w:sz w:val="14"/>
                <w:szCs w:val="14"/>
              </w:rPr>
            </w:pPr>
            <w:r>
              <w:rPr>
                <w:i/>
                <w:iCs/>
                <w:sz w:val="14"/>
                <w:szCs w:val="14"/>
              </w:rPr>
              <w:t>455,076</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i/>
                <w:iCs/>
                <w:sz w:val="14"/>
                <w:szCs w:val="14"/>
              </w:rPr>
            </w:pPr>
            <w:r>
              <w:rPr>
                <w:i/>
                <w:iCs/>
                <w:sz w:val="14"/>
                <w:szCs w:val="14"/>
              </w:rPr>
              <w:t>469,863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2,757,009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2,964,021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2,860,648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2,904,000</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2,962,421</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852,882</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1,005,011</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956,796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921,468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940,528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971,458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1,261,283</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1,384,929</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1,297,454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1,251,600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1,278,040</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1,284,865</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439,809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469,398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484,399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469,902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468,271</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476,723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203,036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225,539</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225,371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217,678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217,161</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229,376</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1,520,136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1,756,085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2,113,142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2,426,177</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1,836,994</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6,159,980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6,192,121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6,028,068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6,365,494</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6,532,931</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6,425,290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6,668,741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6,463,360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6,746,195</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6,750,828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7,281,279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7,801,784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7,866,683</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7,955,033</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7,315,782</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7,762,570</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7,239,552</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7,762,570</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7,759,157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7,824,752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7,913,430</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7,273,703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41,728</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40,004</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42,627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41,932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41,603</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42,078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855,989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1,133,043</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1,403,324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1,208,838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564,953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855,989</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986,276</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1,133,043</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1,403,324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1,208,838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564,953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(265,310)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(476,620)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(435,292)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(380,700)</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(217,898)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3,691</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898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21,688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3,691</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898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21,688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265,606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476,915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435,588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381,598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239,586</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265,606</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151,481</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476,915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435,588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381,598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239,586</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26,090</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25,781</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26,090</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25,538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25,426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25,629</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25,547</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4,359</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3,922</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4,359</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4,345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4,271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4,516</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4,648</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102</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36</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21,626</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21,758</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21,626</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21,132</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21,090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21,079</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20,864</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6,286,070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6,957,256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7,114,115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7,569,059</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7,632,115</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5,412,362</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6,007,758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6,293,100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6,744,868</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6,458,763</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b/>
                <w:bCs/>
                <w:sz w:val="14"/>
                <w:szCs w:val="14"/>
              </w:rPr>
            </w:pPr>
            <w:r>
              <w:rPr>
                <w:b/>
                <w:bCs/>
                <w:sz w:val="14"/>
                <w:szCs w:val="14"/>
              </w:rPr>
              <w:t>869,810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b/>
                <w:bCs/>
                <w:sz w:val="14"/>
                <w:szCs w:val="14"/>
              </w:rPr>
            </w:pPr>
            <w:r>
              <w:rPr>
                <w:b/>
                <w:bCs/>
                <w:sz w:val="14"/>
                <w:szCs w:val="14"/>
              </w:rPr>
              <w:t>945,995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817,590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b/>
                <w:bCs/>
                <w:sz w:val="14"/>
                <w:szCs w:val="14"/>
              </w:rPr>
            </w:pPr>
            <w:r>
              <w:rPr>
                <w:b/>
                <w:bCs/>
                <w:sz w:val="14"/>
                <w:szCs w:val="14"/>
              </w:rPr>
              <w:t>821,096</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b/>
                <w:bCs/>
                <w:sz w:val="14"/>
                <w:szCs w:val="14"/>
              </w:rPr>
            </w:pPr>
            <w:r>
              <w:rPr>
                <w:b/>
                <w:bCs/>
                <w:sz w:val="14"/>
                <w:szCs w:val="14"/>
              </w:rPr>
              <w:t>1,168,496</w:t>
            </w:r>
          </w:p>
        </w:tc>
      </w:tr>
      <w:tr w:rsidR="00012B38" w:rsidRPr="00FA2FBA" w:rsidTr="003B4E74">
        <w:trPr>
          <w:trHeight w:val="266"/>
        </w:trPr>
        <w:tc>
          <w:tcPr>
            <w:tcW w:w="3912" w:type="dxa"/>
            <w:tcBorders>
              <w:top w:val="nil"/>
              <w:left w:val="nil"/>
              <w:bottom w:val="nil"/>
              <w:right w:val="nil"/>
            </w:tcBorders>
            <w:shd w:val="clear" w:color="auto" w:fill="auto"/>
            <w:noWrap/>
            <w:vAlign w:val="center"/>
            <w:hideMark/>
          </w:tcPr>
          <w:p w:rsidR="00012B38" w:rsidRPr="00FA2FBA" w:rsidRDefault="00012B38" w:rsidP="00C81E06">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869,810</w:t>
            </w:r>
          </w:p>
        </w:tc>
        <w:tc>
          <w:tcPr>
            <w:tcW w:w="810" w:type="dxa"/>
            <w:tcBorders>
              <w:top w:val="nil"/>
              <w:left w:val="nil"/>
              <w:bottom w:val="nil"/>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1,244,978</w:t>
            </w:r>
          </w:p>
        </w:tc>
        <w:tc>
          <w:tcPr>
            <w:tcW w:w="810" w:type="dxa"/>
            <w:tcBorders>
              <w:top w:val="nil"/>
              <w:left w:val="nil"/>
              <w:bottom w:val="nil"/>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945,995</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817,590</w:t>
            </w:r>
          </w:p>
        </w:tc>
        <w:tc>
          <w:tcPr>
            <w:tcW w:w="720" w:type="dxa"/>
            <w:tcBorders>
              <w:top w:val="nil"/>
              <w:left w:val="nil"/>
              <w:bottom w:val="nil"/>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821,096</w:t>
            </w:r>
          </w:p>
        </w:tc>
        <w:tc>
          <w:tcPr>
            <w:tcW w:w="720" w:type="dxa"/>
            <w:tcBorders>
              <w:top w:val="nil"/>
              <w:left w:val="nil"/>
              <w:bottom w:val="nil"/>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1,168,496</w:t>
            </w:r>
          </w:p>
        </w:tc>
      </w:tr>
      <w:tr w:rsidR="00012B38"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012B38" w:rsidRPr="00FA2FBA" w:rsidRDefault="00012B38" w:rsidP="00C81E0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012B38" w:rsidRDefault="00012B38" w:rsidP="00C81E0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012B38" w:rsidRDefault="00012B38" w:rsidP="00012B38">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12B38" w:rsidRDefault="00012B38" w:rsidP="00C81E0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12B38" w:rsidRDefault="00012B38" w:rsidP="00C81E0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012B38" w:rsidRDefault="00012B38" w:rsidP="00012B38">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88"/>
        <w:gridCol w:w="648"/>
        <w:gridCol w:w="737"/>
        <w:gridCol w:w="815"/>
        <w:gridCol w:w="740"/>
        <w:gridCol w:w="730"/>
        <w:gridCol w:w="715"/>
        <w:gridCol w:w="720"/>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24A1C" w:rsidRPr="00FA2FBA" w:rsidTr="002B6352">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C24A1C" w:rsidRPr="00FA2FBA" w:rsidRDefault="00C24A1C" w:rsidP="00203D68">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24A1C" w:rsidRPr="00FA2FBA" w:rsidRDefault="00C24A1C" w:rsidP="00203D68">
            <w:pPr>
              <w:jc w:val="right"/>
              <w:rPr>
                <w:b/>
                <w:bCs/>
                <w:color w:val="auto"/>
                <w:szCs w:val="16"/>
              </w:rPr>
            </w:pPr>
            <w:r w:rsidRPr="00B4080E">
              <w:rPr>
                <w:b/>
                <w:bCs/>
                <w:color w:val="auto"/>
                <w:szCs w:val="16"/>
              </w:rPr>
              <w:t>FY17</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C24A1C" w:rsidRPr="002D5FD9" w:rsidRDefault="00C24A1C" w:rsidP="00203D68">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147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2019</w:t>
            </w:r>
          </w:p>
        </w:tc>
        <w:tc>
          <w:tcPr>
            <w:tcW w:w="288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2020</w:t>
            </w:r>
          </w:p>
        </w:tc>
      </w:tr>
      <w:tr w:rsidR="00C81E06" w:rsidRPr="00FA2FBA" w:rsidTr="00BA577D">
        <w:trPr>
          <w:trHeight w:val="268"/>
        </w:trPr>
        <w:tc>
          <w:tcPr>
            <w:tcW w:w="4088" w:type="dxa"/>
            <w:vMerge/>
            <w:tcBorders>
              <w:bottom w:val="single" w:sz="12" w:space="0" w:color="auto"/>
              <w:right w:val="single" w:sz="4" w:space="0" w:color="auto"/>
            </w:tcBorders>
            <w:shd w:val="clear" w:color="auto" w:fill="auto"/>
            <w:noWrap/>
            <w:vAlign w:val="center"/>
            <w:hideMark/>
          </w:tcPr>
          <w:p w:rsidR="00C81E06" w:rsidRPr="00FA2FBA" w:rsidRDefault="00C81E06" w:rsidP="00C81E06">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730" w:type="dxa"/>
            <w:tcBorders>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720" w:type="dxa"/>
            <w:tcBorders>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725" w:type="dxa"/>
            <w:tcBorders>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E12221" w:rsidRPr="00FA2FBA" w:rsidTr="002B6352">
        <w:trPr>
          <w:trHeight w:val="245"/>
        </w:trPr>
        <w:tc>
          <w:tcPr>
            <w:tcW w:w="4088" w:type="dxa"/>
            <w:tcBorders>
              <w:top w:val="single" w:sz="12" w:space="0" w:color="auto"/>
            </w:tcBorders>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3,444</w:t>
            </w:r>
          </w:p>
        </w:tc>
        <w:tc>
          <w:tcPr>
            <w:tcW w:w="737" w:type="dxa"/>
            <w:tcBorders>
              <w:top w:val="single" w:sz="12" w:space="0" w:color="auto"/>
            </w:tcBorders>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3,692</w:t>
            </w:r>
          </w:p>
        </w:tc>
        <w:tc>
          <w:tcPr>
            <w:tcW w:w="740" w:type="dxa"/>
            <w:tcBorders>
              <w:top w:val="single" w:sz="12" w:space="0" w:color="auto"/>
            </w:tcBorders>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3,898</w:t>
            </w:r>
          </w:p>
        </w:tc>
        <w:tc>
          <w:tcPr>
            <w:tcW w:w="730" w:type="dxa"/>
            <w:tcBorders>
              <w:top w:val="single" w:sz="12" w:space="0" w:color="auto"/>
            </w:tcBorders>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3,692</w:t>
            </w:r>
          </w:p>
        </w:tc>
        <w:tc>
          <w:tcPr>
            <w:tcW w:w="715" w:type="dxa"/>
            <w:tcBorders>
              <w:top w:val="single" w:sz="12" w:space="0" w:color="auto"/>
            </w:tcBorders>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3,503</w:t>
            </w:r>
          </w:p>
        </w:tc>
        <w:tc>
          <w:tcPr>
            <w:tcW w:w="720" w:type="dxa"/>
            <w:tcBorders>
              <w:top w:val="single" w:sz="12" w:space="0" w:color="auto"/>
            </w:tcBorders>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3,426</w:t>
            </w:r>
          </w:p>
        </w:tc>
        <w:tc>
          <w:tcPr>
            <w:tcW w:w="725" w:type="dxa"/>
            <w:tcBorders>
              <w:top w:val="single" w:sz="12" w:space="0" w:color="auto"/>
            </w:tcBorders>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3,095</w:t>
            </w:r>
          </w:p>
        </w:tc>
        <w:tc>
          <w:tcPr>
            <w:tcW w:w="720" w:type="dxa"/>
            <w:tcBorders>
              <w:top w:val="single" w:sz="12" w:space="0" w:color="auto"/>
            </w:tcBorders>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4,856</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156" w:firstLine="251"/>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1,499</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1,438</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1,378</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1,438</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1,463</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1,439</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1,458</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1,455</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63</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3</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63</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90</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68</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74</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75</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112</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132</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157</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156</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157</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146</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145</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160</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158</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1,387</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1,208</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1,218</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1,219</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1,218</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1,227</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1,226</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1,225</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1,222</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1,945</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2,254</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2,520</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2,254</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2,040</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1,986</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1,637</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3,401</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1,553</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941</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1,651</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1,865</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1,651</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1,406</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1,328</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1,110</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2,914</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392</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512</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602</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655</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602</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634</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659</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527</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487</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E12221" w:rsidRPr="00D670CE" w:rsidRDefault="00E12221" w:rsidP="00C81E06">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51,168</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67,332</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66,399</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67,332</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67,209</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68,214</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71,995</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74,889</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E12221" w:rsidRDefault="00E12221" w:rsidP="00C81E06">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E12221" w:rsidRDefault="00E12221" w:rsidP="00C81E06">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E12221" w:rsidRDefault="00E12221" w:rsidP="00C81E06">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E12221" w:rsidRDefault="00E12221" w:rsidP="00C81E06">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E12221" w:rsidRDefault="00E12221" w:rsidP="00012B38">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E12221" w:rsidRDefault="00E12221" w:rsidP="00C81E06">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E12221" w:rsidRDefault="00E12221" w:rsidP="00C81E06">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E12221" w:rsidRDefault="00E12221" w:rsidP="00C81E06">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E12221" w:rsidRDefault="00E12221" w:rsidP="00E12221">
            <w:pPr>
              <w:ind w:firstLineChars="200" w:firstLine="320"/>
              <w:jc w:val="right"/>
              <w:rPr>
                <w:i/>
                <w:iCs/>
                <w:szCs w:val="16"/>
              </w:rPr>
            </w:pPr>
            <w:r>
              <w:rPr>
                <w:i/>
                <w:iCs/>
                <w:szCs w:val="16"/>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E12221" w:rsidRPr="00D670CE" w:rsidRDefault="00E12221" w:rsidP="00C81E06">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E12221" w:rsidRPr="00D670CE" w:rsidRDefault="00E12221" w:rsidP="00C81E06">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34,066</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152,134</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E12221" w:rsidRPr="00D670CE" w:rsidRDefault="00E12221" w:rsidP="00C81E06">
            <w:pPr>
              <w:jc w:val="right"/>
              <w:rPr>
                <w:b/>
                <w:bCs/>
                <w:sz w:val="14"/>
                <w:szCs w:val="14"/>
              </w:rPr>
            </w:pPr>
            <w:r w:rsidRPr="00D670CE">
              <w:rPr>
                <w:b/>
                <w:bCs/>
                <w:sz w:val="14"/>
                <w:szCs w:val="14"/>
              </w:rPr>
              <w:t>-</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611,317</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743,141</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801,232</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743,141</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1,746,231</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1,900,716</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1,982,173</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2,036,202</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100</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100</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100</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100</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100</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100</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100</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43,958</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12,779</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6,941</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168,304</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6,941</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942,736</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1,087,828</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1,150,132</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1,172,625</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142,136</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110,715</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112,538</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110,522</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112,538</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99,731</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99,731</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99,731</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99,731</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425,123</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451,482</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623,562</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522,306</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623,562</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703,664</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713,057</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732,210</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763,746</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840</w:t>
            </w:r>
          </w:p>
        </w:tc>
        <w:tc>
          <w:tcPr>
            <w:tcW w:w="737"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197,208</w:t>
            </w:r>
          </w:p>
        </w:tc>
        <w:tc>
          <w:tcPr>
            <w:tcW w:w="740"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58,206</w:t>
            </w:r>
          </w:p>
        </w:tc>
        <w:tc>
          <w:tcPr>
            <w:tcW w:w="730" w:type="dxa"/>
            <w:shd w:val="clear" w:color="auto" w:fill="auto"/>
            <w:tcMar>
              <w:left w:w="43" w:type="dxa"/>
              <w:right w:w="43" w:type="dxa"/>
            </w:tcMar>
            <w:vAlign w:val="center"/>
          </w:tcPr>
          <w:p w:rsidR="00E12221" w:rsidRDefault="00E12221" w:rsidP="00012B38">
            <w:pPr>
              <w:jc w:val="right"/>
              <w:rPr>
                <w:b/>
                <w:bCs/>
                <w:sz w:val="14"/>
                <w:szCs w:val="14"/>
              </w:rPr>
            </w:pPr>
            <w:r>
              <w:rPr>
                <w:b/>
                <w:bCs/>
                <w:sz w:val="14"/>
                <w:szCs w:val="14"/>
              </w:rPr>
              <w:t>197,208</w:t>
            </w:r>
          </w:p>
        </w:tc>
        <w:tc>
          <w:tcPr>
            <w:tcW w:w="715" w:type="dxa"/>
            <w:shd w:val="clear" w:color="auto" w:fill="auto"/>
            <w:tcMar>
              <w:left w:w="43" w:type="dxa"/>
              <w:right w:w="43" w:type="dxa"/>
            </w:tcMar>
            <w:vAlign w:val="center"/>
            <w:hideMark/>
          </w:tcPr>
          <w:p w:rsidR="00E12221" w:rsidRDefault="00E12221" w:rsidP="00C81E06">
            <w:pPr>
              <w:jc w:val="right"/>
              <w:rPr>
                <w:b/>
                <w:bCs/>
                <w:sz w:val="14"/>
                <w:szCs w:val="14"/>
              </w:rPr>
            </w:pPr>
            <w:r>
              <w:rPr>
                <w:b/>
                <w:bCs/>
                <w:sz w:val="14"/>
                <w:szCs w:val="14"/>
              </w:rPr>
              <w:t>(620,835)</w:t>
            </w:r>
          </w:p>
        </w:tc>
        <w:tc>
          <w:tcPr>
            <w:tcW w:w="720"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(655,692)</w:t>
            </w:r>
          </w:p>
        </w:tc>
        <w:tc>
          <w:tcPr>
            <w:tcW w:w="725" w:type="dxa"/>
            <w:shd w:val="clear" w:color="auto" w:fill="auto"/>
            <w:tcMar>
              <w:left w:w="43" w:type="dxa"/>
              <w:right w:w="43" w:type="dxa"/>
            </w:tcMar>
            <w:vAlign w:val="center"/>
          </w:tcPr>
          <w:p w:rsidR="00E12221" w:rsidRDefault="00E12221" w:rsidP="00C81E06">
            <w:pPr>
              <w:jc w:val="right"/>
              <w:rPr>
                <w:b/>
                <w:bCs/>
                <w:sz w:val="14"/>
                <w:szCs w:val="14"/>
              </w:rPr>
            </w:pPr>
            <w:r>
              <w:rPr>
                <w:b/>
                <w:bCs/>
                <w:sz w:val="14"/>
                <w:szCs w:val="14"/>
              </w:rPr>
              <w:t>(696,062)</w:t>
            </w:r>
          </w:p>
        </w:tc>
        <w:tc>
          <w:tcPr>
            <w:tcW w:w="720" w:type="dxa"/>
            <w:shd w:val="clear" w:color="auto" w:fill="auto"/>
            <w:noWrap/>
            <w:tcMar>
              <w:left w:w="43" w:type="dxa"/>
              <w:right w:w="43" w:type="dxa"/>
            </w:tcMar>
            <w:vAlign w:val="center"/>
          </w:tcPr>
          <w:p w:rsidR="00E12221" w:rsidRDefault="00E12221" w:rsidP="00E12221">
            <w:pPr>
              <w:jc w:val="right"/>
              <w:rPr>
                <w:b/>
                <w:bCs/>
                <w:sz w:val="14"/>
                <w:szCs w:val="14"/>
              </w:rPr>
            </w:pPr>
            <w:r>
              <w:rPr>
                <w:b/>
                <w:bCs/>
                <w:sz w:val="14"/>
                <w:szCs w:val="14"/>
              </w:rPr>
              <w:t>(902,722)</w:t>
            </w:r>
          </w:p>
        </w:tc>
      </w:tr>
      <w:tr w:rsidR="00E12221" w:rsidRPr="00FA2FBA" w:rsidTr="002B6352">
        <w:trPr>
          <w:trHeight w:val="245"/>
        </w:trPr>
        <w:tc>
          <w:tcPr>
            <w:tcW w:w="4088" w:type="dxa"/>
            <w:shd w:val="clear" w:color="auto" w:fill="auto"/>
            <w:noWrap/>
            <w:vAlign w:val="center"/>
            <w:hideMark/>
          </w:tcPr>
          <w:p w:rsidR="00E12221" w:rsidRPr="00FA2FBA" w:rsidRDefault="00E12221" w:rsidP="00C81E06">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180,353</w:t>
            </w:r>
          </w:p>
        </w:tc>
        <w:tc>
          <w:tcPr>
            <w:tcW w:w="737" w:type="dxa"/>
            <w:shd w:val="clear" w:color="auto" w:fill="auto"/>
            <w:tcMar>
              <w:left w:w="43" w:type="dxa"/>
              <w:right w:w="43" w:type="dxa"/>
            </w:tcMar>
            <w:vAlign w:val="center"/>
          </w:tcPr>
          <w:p w:rsidR="00E12221" w:rsidRDefault="00E12221" w:rsidP="00C81E06">
            <w:pPr>
              <w:jc w:val="right"/>
              <w:rPr>
                <w:sz w:val="14"/>
                <w:szCs w:val="14"/>
              </w:rPr>
            </w:pPr>
            <w:r>
              <w:rPr>
                <w:sz w:val="14"/>
                <w:szCs w:val="14"/>
              </w:rPr>
              <w:t>161,463</w:t>
            </w:r>
          </w:p>
        </w:tc>
        <w:tc>
          <w:tcPr>
            <w:tcW w:w="815" w:type="dxa"/>
            <w:shd w:val="clear" w:color="auto" w:fill="auto"/>
            <w:tcMar>
              <w:left w:w="43" w:type="dxa"/>
              <w:right w:w="43" w:type="dxa"/>
            </w:tcMar>
            <w:vAlign w:val="center"/>
          </w:tcPr>
          <w:p w:rsidR="00E12221" w:rsidRDefault="00E12221" w:rsidP="00C81E06">
            <w:pPr>
              <w:jc w:val="right"/>
              <w:rPr>
                <w:sz w:val="14"/>
                <w:szCs w:val="14"/>
              </w:rPr>
            </w:pPr>
            <w:r>
              <w:rPr>
                <w:sz w:val="14"/>
                <w:szCs w:val="14"/>
              </w:rPr>
              <w:t>394,703</w:t>
            </w:r>
          </w:p>
        </w:tc>
        <w:tc>
          <w:tcPr>
            <w:tcW w:w="740"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306,627</w:t>
            </w:r>
          </w:p>
        </w:tc>
        <w:tc>
          <w:tcPr>
            <w:tcW w:w="730" w:type="dxa"/>
            <w:shd w:val="clear" w:color="auto" w:fill="auto"/>
            <w:tcMar>
              <w:left w:w="43" w:type="dxa"/>
              <w:right w:w="43" w:type="dxa"/>
            </w:tcMar>
            <w:vAlign w:val="center"/>
          </w:tcPr>
          <w:p w:rsidR="00E12221" w:rsidRDefault="00E12221" w:rsidP="00012B38">
            <w:pPr>
              <w:jc w:val="right"/>
              <w:rPr>
                <w:sz w:val="14"/>
                <w:szCs w:val="14"/>
              </w:rPr>
            </w:pPr>
            <w:r>
              <w:rPr>
                <w:sz w:val="14"/>
                <w:szCs w:val="14"/>
              </w:rPr>
              <w:t>394,703</w:t>
            </w:r>
          </w:p>
        </w:tc>
        <w:tc>
          <w:tcPr>
            <w:tcW w:w="715" w:type="dxa"/>
            <w:shd w:val="clear" w:color="auto" w:fill="auto"/>
            <w:tcMar>
              <w:left w:w="43" w:type="dxa"/>
              <w:right w:w="43" w:type="dxa"/>
            </w:tcMar>
            <w:vAlign w:val="center"/>
            <w:hideMark/>
          </w:tcPr>
          <w:p w:rsidR="00E12221" w:rsidRDefault="00E12221" w:rsidP="00C81E06">
            <w:pPr>
              <w:jc w:val="right"/>
              <w:rPr>
                <w:sz w:val="14"/>
                <w:szCs w:val="14"/>
              </w:rPr>
            </w:pPr>
            <w:r>
              <w:rPr>
                <w:sz w:val="14"/>
                <w:szCs w:val="14"/>
              </w:rPr>
              <w:t>181,693</w:t>
            </w:r>
          </w:p>
        </w:tc>
        <w:tc>
          <w:tcPr>
            <w:tcW w:w="720" w:type="dxa"/>
            <w:shd w:val="clear" w:color="auto" w:fill="auto"/>
            <w:tcMar>
              <w:left w:w="43" w:type="dxa"/>
              <w:right w:w="43" w:type="dxa"/>
            </w:tcMar>
            <w:vAlign w:val="center"/>
          </w:tcPr>
          <w:p w:rsidR="00E12221" w:rsidRDefault="00E12221" w:rsidP="00C81E06">
            <w:pPr>
              <w:jc w:val="right"/>
              <w:rPr>
                <w:sz w:val="14"/>
                <w:szCs w:val="14"/>
              </w:rPr>
            </w:pPr>
            <w:r>
              <w:rPr>
                <w:sz w:val="14"/>
                <w:szCs w:val="14"/>
              </w:rPr>
              <w:t>181,911</w:t>
            </w:r>
          </w:p>
        </w:tc>
        <w:tc>
          <w:tcPr>
            <w:tcW w:w="725" w:type="dxa"/>
            <w:shd w:val="clear" w:color="auto" w:fill="auto"/>
            <w:tcMar>
              <w:left w:w="43" w:type="dxa"/>
              <w:right w:w="43" w:type="dxa"/>
            </w:tcMar>
            <w:vAlign w:val="center"/>
          </w:tcPr>
          <w:p w:rsidR="00E12221" w:rsidRDefault="00E12221" w:rsidP="00C81E06">
            <w:pPr>
              <w:jc w:val="right"/>
              <w:rPr>
                <w:sz w:val="14"/>
                <w:szCs w:val="14"/>
              </w:rPr>
            </w:pPr>
            <w:r>
              <w:rPr>
                <w:sz w:val="14"/>
                <w:szCs w:val="14"/>
              </w:rPr>
              <w:t>127,884</w:t>
            </w:r>
          </w:p>
        </w:tc>
        <w:tc>
          <w:tcPr>
            <w:tcW w:w="720" w:type="dxa"/>
            <w:shd w:val="clear" w:color="auto" w:fill="auto"/>
            <w:noWrap/>
            <w:tcMar>
              <w:left w:w="43" w:type="dxa"/>
              <w:right w:w="43" w:type="dxa"/>
            </w:tcMar>
            <w:vAlign w:val="center"/>
          </w:tcPr>
          <w:p w:rsidR="00E12221" w:rsidRDefault="00E12221" w:rsidP="00E12221">
            <w:pPr>
              <w:jc w:val="right"/>
              <w:rPr>
                <w:sz w:val="14"/>
                <w:szCs w:val="14"/>
              </w:rPr>
            </w:pPr>
            <w:r>
              <w:rPr>
                <w:sz w:val="14"/>
                <w:szCs w:val="14"/>
              </w:rPr>
              <w:t>208,375</w:t>
            </w:r>
          </w:p>
        </w:tc>
      </w:tr>
      <w:tr w:rsidR="00E12221" w:rsidRPr="00FA2FBA" w:rsidTr="002B6352">
        <w:trPr>
          <w:trHeight w:val="245"/>
        </w:trPr>
        <w:tc>
          <w:tcPr>
            <w:tcW w:w="4088" w:type="dxa"/>
            <w:tcBorders>
              <w:bottom w:val="single" w:sz="12" w:space="0" w:color="auto"/>
            </w:tcBorders>
            <w:shd w:val="clear" w:color="auto" w:fill="auto"/>
            <w:noWrap/>
            <w:vAlign w:val="center"/>
            <w:hideMark/>
          </w:tcPr>
          <w:p w:rsidR="00E12221" w:rsidRPr="00FA2FBA" w:rsidRDefault="00E12221" w:rsidP="00C81E06">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E12221" w:rsidRDefault="00E12221" w:rsidP="00C81E06">
            <w:pPr>
              <w:jc w:val="right"/>
              <w:rPr>
                <w:i/>
                <w:iCs/>
                <w:sz w:val="14"/>
                <w:szCs w:val="14"/>
              </w:rPr>
            </w:pPr>
            <w:r>
              <w:rPr>
                <w:i/>
                <w:iCs/>
                <w:sz w:val="14"/>
                <w:szCs w:val="14"/>
              </w:rPr>
              <w:t>179,512</w:t>
            </w:r>
          </w:p>
        </w:tc>
        <w:tc>
          <w:tcPr>
            <w:tcW w:w="737" w:type="dxa"/>
            <w:tcBorders>
              <w:bottom w:val="single" w:sz="12" w:space="0" w:color="auto"/>
            </w:tcBorders>
            <w:shd w:val="clear" w:color="auto" w:fill="auto"/>
            <w:tcMar>
              <w:left w:w="43" w:type="dxa"/>
              <w:right w:w="43" w:type="dxa"/>
            </w:tcMar>
            <w:vAlign w:val="center"/>
          </w:tcPr>
          <w:p w:rsidR="00E12221" w:rsidRDefault="00E12221" w:rsidP="00C81E06">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E12221" w:rsidRDefault="00E12221" w:rsidP="00C81E06">
            <w:pPr>
              <w:jc w:val="right"/>
              <w:rPr>
                <w:i/>
                <w:iCs/>
                <w:sz w:val="14"/>
                <w:szCs w:val="14"/>
              </w:rPr>
            </w:pPr>
            <w:r>
              <w:rPr>
                <w:i/>
                <w:iCs/>
                <w:sz w:val="14"/>
                <w:szCs w:val="14"/>
              </w:rPr>
              <w:t>197,495</w:t>
            </w:r>
          </w:p>
        </w:tc>
        <w:tc>
          <w:tcPr>
            <w:tcW w:w="740" w:type="dxa"/>
            <w:tcBorders>
              <w:bottom w:val="single" w:sz="12" w:space="0" w:color="auto"/>
            </w:tcBorders>
            <w:shd w:val="clear" w:color="auto" w:fill="auto"/>
            <w:tcMar>
              <w:left w:w="43" w:type="dxa"/>
              <w:right w:w="43" w:type="dxa"/>
            </w:tcMar>
            <w:vAlign w:val="center"/>
            <w:hideMark/>
          </w:tcPr>
          <w:p w:rsidR="00E12221" w:rsidRDefault="00E12221" w:rsidP="00C81E06">
            <w:pPr>
              <w:jc w:val="right"/>
              <w:rPr>
                <w:i/>
                <w:iCs/>
                <w:sz w:val="14"/>
                <w:szCs w:val="14"/>
              </w:rPr>
            </w:pPr>
            <w:r>
              <w:rPr>
                <w:i/>
                <w:iCs/>
                <w:sz w:val="14"/>
                <w:szCs w:val="14"/>
              </w:rPr>
              <w:t>248,421</w:t>
            </w:r>
          </w:p>
        </w:tc>
        <w:tc>
          <w:tcPr>
            <w:tcW w:w="730" w:type="dxa"/>
            <w:tcBorders>
              <w:bottom w:val="single" w:sz="12" w:space="0" w:color="auto"/>
            </w:tcBorders>
            <w:shd w:val="clear" w:color="auto" w:fill="auto"/>
            <w:tcMar>
              <w:left w:w="43" w:type="dxa"/>
              <w:right w:w="43" w:type="dxa"/>
            </w:tcMar>
            <w:vAlign w:val="center"/>
          </w:tcPr>
          <w:p w:rsidR="00E12221" w:rsidRDefault="00E12221" w:rsidP="00012B38">
            <w:pPr>
              <w:jc w:val="right"/>
              <w:rPr>
                <w:i/>
                <w:iCs/>
                <w:sz w:val="14"/>
                <w:szCs w:val="14"/>
              </w:rPr>
            </w:pPr>
            <w:r>
              <w:rPr>
                <w:i/>
                <w:iCs/>
                <w:sz w:val="14"/>
                <w:szCs w:val="14"/>
              </w:rPr>
              <w:t>197,495</w:t>
            </w:r>
          </w:p>
        </w:tc>
        <w:tc>
          <w:tcPr>
            <w:tcW w:w="715" w:type="dxa"/>
            <w:tcBorders>
              <w:bottom w:val="single" w:sz="12" w:space="0" w:color="auto"/>
            </w:tcBorders>
            <w:shd w:val="clear" w:color="auto" w:fill="auto"/>
            <w:tcMar>
              <w:left w:w="43" w:type="dxa"/>
              <w:right w:w="43" w:type="dxa"/>
            </w:tcMar>
            <w:vAlign w:val="center"/>
            <w:hideMark/>
          </w:tcPr>
          <w:p w:rsidR="00E12221" w:rsidRDefault="00E12221" w:rsidP="00C81E06">
            <w:pPr>
              <w:jc w:val="right"/>
              <w:rPr>
                <w:i/>
                <w:iCs/>
                <w:sz w:val="14"/>
                <w:szCs w:val="14"/>
              </w:rPr>
            </w:pPr>
            <w:r>
              <w:rPr>
                <w:i/>
                <w:iCs/>
                <w:sz w:val="14"/>
                <w:szCs w:val="14"/>
              </w:rPr>
              <w:t>802,528</w:t>
            </w:r>
          </w:p>
        </w:tc>
        <w:tc>
          <w:tcPr>
            <w:tcW w:w="720" w:type="dxa"/>
            <w:tcBorders>
              <w:bottom w:val="single" w:sz="12" w:space="0" w:color="auto"/>
            </w:tcBorders>
            <w:shd w:val="clear" w:color="auto" w:fill="auto"/>
            <w:tcMar>
              <w:left w:w="43" w:type="dxa"/>
              <w:right w:w="43" w:type="dxa"/>
            </w:tcMar>
            <w:vAlign w:val="center"/>
          </w:tcPr>
          <w:p w:rsidR="00E12221" w:rsidRDefault="00E12221" w:rsidP="00C81E06">
            <w:pPr>
              <w:jc w:val="right"/>
              <w:rPr>
                <w:i/>
                <w:iCs/>
                <w:sz w:val="14"/>
                <w:szCs w:val="14"/>
              </w:rPr>
            </w:pPr>
            <w:r>
              <w:rPr>
                <w:i/>
                <w:iCs/>
                <w:sz w:val="14"/>
                <w:szCs w:val="14"/>
              </w:rPr>
              <w:t>837,603</w:t>
            </w:r>
          </w:p>
        </w:tc>
        <w:tc>
          <w:tcPr>
            <w:tcW w:w="725" w:type="dxa"/>
            <w:tcBorders>
              <w:bottom w:val="single" w:sz="12" w:space="0" w:color="auto"/>
            </w:tcBorders>
            <w:shd w:val="clear" w:color="auto" w:fill="auto"/>
            <w:tcMar>
              <w:left w:w="43" w:type="dxa"/>
              <w:right w:w="43" w:type="dxa"/>
            </w:tcMar>
            <w:vAlign w:val="center"/>
          </w:tcPr>
          <w:p w:rsidR="00E12221" w:rsidRDefault="00E12221" w:rsidP="00C81E06">
            <w:pPr>
              <w:jc w:val="right"/>
              <w:rPr>
                <w:i/>
                <w:iCs/>
                <w:sz w:val="14"/>
                <w:szCs w:val="14"/>
              </w:rPr>
            </w:pPr>
            <w:r>
              <w:rPr>
                <w:i/>
                <w:iCs/>
                <w:sz w:val="14"/>
                <w:szCs w:val="14"/>
              </w:rPr>
              <w:t>823,946</w:t>
            </w:r>
          </w:p>
        </w:tc>
        <w:tc>
          <w:tcPr>
            <w:tcW w:w="720" w:type="dxa"/>
            <w:tcBorders>
              <w:bottom w:val="single" w:sz="12" w:space="0" w:color="auto"/>
            </w:tcBorders>
            <w:shd w:val="clear" w:color="auto" w:fill="auto"/>
            <w:noWrap/>
            <w:tcMar>
              <w:left w:w="43" w:type="dxa"/>
              <w:right w:w="43" w:type="dxa"/>
            </w:tcMar>
            <w:vAlign w:val="center"/>
          </w:tcPr>
          <w:p w:rsidR="00E12221" w:rsidRDefault="00E12221" w:rsidP="00E12221">
            <w:pPr>
              <w:jc w:val="right"/>
              <w:rPr>
                <w:i/>
                <w:iCs/>
                <w:sz w:val="14"/>
                <w:szCs w:val="14"/>
              </w:rPr>
            </w:pPr>
            <w:r>
              <w:rPr>
                <w:i/>
                <w:iCs/>
                <w:sz w:val="14"/>
                <w:szCs w:val="14"/>
              </w:rPr>
              <w:t>1,111,097</w:t>
            </w:r>
          </w:p>
        </w:tc>
      </w:tr>
      <w:tr w:rsidR="00C81E06" w:rsidRPr="00FA2FBA" w:rsidTr="007A445B">
        <w:trPr>
          <w:trHeight w:val="375"/>
        </w:trPr>
        <w:tc>
          <w:tcPr>
            <w:tcW w:w="10638" w:type="dxa"/>
            <w:gridSpan w:val="10"/>
            <w:tcBorders>
              <w:top w:val="single" w:sz="12" w:space="0" w:color="auto"/>
            </w:tcBorders>
            <w:shd w:val="clear" w:color="auto" w:fill="auto"/>
            <w:noWrap/>
            <w:hideMark/>
          </w:tcPr>
          <w:p w:rsidR="00C81E06" w:rsidRDefault="00C81E06" w:rsidP="00C81E06">
            <w:pPr>
              <w:jc w:val="right"/>
              <w:rPr>
                <w:b/>
                <w:bCs/>
                <w:color w:val="auto"/>
                <w:sz w:val="14"/>
                <w:szCs w:val="14"/>
              </w:rPr>
            </w:pPr>
            <w:r>
              <w:rPr>
                <w:sz w:val="14"/>
                <w:szCs w:val="14"/>
              </w:rPr>
              <w:t>Source: Statistics &amp; Data Warehouse Department SBP</w:t>
            </w:r>
          </w:p>
          <w:p w:rsidR="00C81E06" w:rsidRPr="00FA2FBA" w:rsidRDefault="00C81E06" w:rsidP="00C81E06">
            <w:pPr>
              <w:jc w:val="left"/>
              <w:rPr>
                <w:rFonts w:ascii="Calibri" w:hAnsi="Calibri"/>
                <w:sz w:val="22"/>
                <w:szCs w:val="22"/>
              </w:rPr>
            </w:pPr>
            <w:r w:rsidRPr="004F1CC1">
              <w:rPr>
                <w:b/>
                <w:bCs/>
                <w:color w:val="auto"/>
                <w:sz w:val="14"/>
                <w:szCs w:val="14"/>
              </w:rPr>
              <w:t xml:space="preserve">Note :  </w:t>
            </w:r>
          </w:p>
        </w:tc>
      </w:tr>
      <w:tr w:rsidR="00C81E06" w:rsidRPr="00FA2FBA" w:rsidTr="00846691">
        <w:trPr>
          <w:trHeight w:val="423"/>
        </w:trPr>
        <w:tc>
          <w:tcPr>
            <w:tcW w:w="10638" w:type="dxa"/>
            <w:gridSpan w:val="10"/>
            <w:shd w:val="clear" w:color="auto" w:fill="auto"/>
            <w:noWrap/>
            <w:vAlign w:val="center"/>
            <w:hideMark/>
          </w:tcPr>
          <w:p w:rsidR="00C81E06" w:rsidRPr="006A1E59" w:rsidRDefault="00C81E06" w:rsidP="00C81E06">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9" w:history="1">
              <w:r w:rsidRPr="006A1E59">
                <w:rPr>
                  <w:rFonts w:asciiTheme="majorBidi" w:hAnsiTheme="majorBidi" w:cstheme="majorBidi"/>
                  <w:sz w:val="14"/>
                  <w:szCs w:val="14"/>
                </w:rPr>
                <w:t>http://www.sbp.org.pk/departments/Guidelines.htm</w:t>
              </w:r>
            </w:hyperlink>
          </w:p>
          <w:p w:rsidR="00C81E06" w:rsidRPr="006A1E59" w:rsidRDefault="00C81E06" w:rsidP="00C81E06">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C81E06" w:rsidRPr="00FA2FBA" w:rsidTr="00846691">
        <w:trPr>
          <w:trHeight w:val="268"/>
        </w:trPr>
        <w:tc>
          <w:tcPr>
            <w:tcW w:w="10638" w:type="dxa"/>
            <w:gridSpan w:val="10"/>
            <w:shd w:val="clear" w:color="auto" w:fill="auto"/>
            <w:noWrap/>
            <w:vAlign w:val="center"/>
            <w:hideMark/>
          </w:tcPr>
          <w:p w:rsidR="00C81E06" w:rsidRPr="00CE511E" w:rsidRDefault="00C81E06" w:rsidP="00C81E06">
            <w:pPr>
              <w:jc w:val="left"/>
              <w:rPr>
                <w:color w:val="0000FF"/>
                <w:sz w:val="14"/>
                <w:szCs w:val="14"/>
                <w:u w:val="single"/>
              </w:rPr>
            </w:pP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E0EA6"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E0EA6" w:rsidRPr="008245E8" w:rsidRDefault="003E0EA6" w:rsidP="00203D68">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E0EA6" w:rsidRPr="008245E8" w:rsidRDefault="003E0EA6" w:rsidP="00203D68">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3E0EA6" w:rsidRPr="002D5FD9" w:rsidRDefault="003E0EA6" w:rsidP="00203D68">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3E0EA6" w:rsidRPr="002D5FD9" w:rsidRDefault="003E0EA6" w:rsidP="00DE6559">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E0EA6" w:rsidRPr="008245E8" w:rsidRDefault="003E0EA6" w:rsidP="00203D68">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E0EA6" w:rsidRPr="008245E8" w:rsidRDefault="003E0EA6" w:rsidP="00203D68">
            <w:pPr>
              <w:rPr>
                <w:b/>
                <w:bCs/>
                <w:color w:val="auto"/>
                <w:szCs w:val="16"/>
              </w:rPr>
            </w:pPr>
            <w:r>
              <w:rPr>
                <w:b/>
                <w:bCs/>
                <w:color w:val="auto"/>
                <w:szCs w:val="16"/>
              </w:rPr>
              <w:t>2020</w:t>
            </w:r>
          </w:p>
        </w:tc>
      </w:tr>
      <w:tr w:rsidR="00C81E06"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C81E06" w:rsidRPr="008245E8" w:rsidRDefault="00C81E06" w:rsidP="00C81E06">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736"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roofErr w:type="spellStart"/>
            <w:r>
              <w:rPr>
                <w:b/>
                <w:color w:val="auto"/>
                <w:sz w:val="14"/>
                <w:szCs w:val="14"/>
              </w:rPr>
              <w:t>May</w:t>
            </w:r>
            <w:r w:rsidR="00FD61D4" w:rsidRPr="00FD61D4">
              <w:rPr>
                <w:b/>
                <w:color w:val="auto"/>
                <w:sz w:val="14"/>
                <w:szCs w:val="14"/>
                <w:vertAlign w:val="superscript"/>
              </w:rPr>
              <w:t>R</w:t>
            </w:r>
            <w:proofErr w:type="spellEnd"/>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(180,417)</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(183,325)</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(180,417)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(261,006)</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(305,560)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(262,598)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(208,786)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604,432</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560,502</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604,432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572,732</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519,314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539,700</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603,425</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45,318</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59,945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43,107</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50,404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57,523</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67,102</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154,962</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162,224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157,184</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120,690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147,335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181,346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147,613</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156,463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151,845</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128,857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117,069</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121,658</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410</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440</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2,113</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3,395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1,421</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3,574</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1,561</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2,869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3,114</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1,325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1,225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970</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217,233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206,067</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217,233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209,143</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208,759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208,859</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221,967</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5,258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4,570</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5,258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6,226</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6,268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6,808</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784,848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743,826</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784,848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833,738</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824,874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802,298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812,211</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243,188</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249,754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297,648</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300,148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305,216</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309,856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485,036</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520,753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517,738</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508,237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480,855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487,075</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2,734</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3,378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4,548</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2,457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1,753</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2,409</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10,963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12,868</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10,963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13,805</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14,032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14,473</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12,871</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1,733,741</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1,369,622</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1,733,741</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1,341,249</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1,329,956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1,209,640</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1,510,596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349,590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394,566</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349,590</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350,038</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364,032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381,088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331,789</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1,253,753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867,665</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1,253,753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936,659</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809,142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808,412</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1,155,088</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107,391</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130,397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54,552</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156,782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20,141</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23,719</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5,822,118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5,617,924</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5,822,118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7,558,204</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8,121,081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8,498,067</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8,649,793</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6,137,617</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5,931,688</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6,137,617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8,042,350</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8,561,083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8,802,066</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9,080,116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7,384,672</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7,054,392</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7,384,672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9,324,059</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9,866,447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10,302,471</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10,470,924</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7,116,683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6,785,105</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7,116,683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9,054,272</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9,605,698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9,992,124</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10,190,640</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269,287</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267,989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269,787</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260,749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310,348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280,285</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1,122,704</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1,247,054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1,281,709</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1,305,364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1,500,405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1,390,808</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1,122,704</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1,247,054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1,281,709</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1,305,364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1,500,405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1,390,808</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(313,764)</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(315,499)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(484,146)</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(440,002)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(303,999)</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(430,323)</w:t>
            </w:r>
          </w:p>
        </w:tc>
      </w:tr>
      <w:tr w:rsidR="00FD61D4" w:rsidRPr="008245E8" w:rsidTr="001734D6">
        <w:trPr>
          <w:trHeight w:val="363"/>
        </w:trPr>
        <w:tc>
          <w:tcPr>
            <w:tcW w:w="2930" w:type="dxa"/>
            <w:tcBorders>
              <w:top w:val="nil"/>
              <w:left w:val="nil"/>
              <w:bottom w:val="nil"/>
              <w:right w:val="nil"/>
            </w:tcBorders>
            <w:shd w:val="clear" w:color="auto" w:fill="auto"/>
            <w:noWrap/>
            <w:vAlign w:val="center"/>
            <w:hideMark/>
          </w:tcPr>
          <w:p w:rsidR="00FD61D4" w:rsidRPr="008245E8" w:rsidRDefault="00FD61D4" w:rsidP="00C81E06">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556,668</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565,321</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457,800</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502,981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631,425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627,236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556,668</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565,321</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457,800</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502,981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631,425</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627,236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b/>
                <w:bCs/>
                <w:sz w:val="14"/>
                <w:szCs w:val="14"/>
              </w:rPr>
            </w:pPr>
            <w:r>
              <w:rPr>
                <w:b/>
                <w:bCs/>
                <w:sz w:val="14"/>
                <w:szCs w:val="14"/>
              </w:rPr>
              <w:t>870,433</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880,820</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b/>
                <w:bCs/>
                <w:sz w:val="14"/>
                <w:szCs w:val="14"/>
              </w:rPr>
            </w:pPr>
            <w:r>
              <w:rPr>
                <w:b/>
                <w:bCs/>
                <w:sz w:val="14"/>
                <w:szCs w:val="14"/>
              </w:rPr>
              <w:t>941,946</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942,982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935,424</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1,057,559</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861,360</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871,915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932,705</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933,966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926,326</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1,050,685</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9,073</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8,905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9,241</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9,017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9,098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6,874</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8,323,196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b/>
                <w:bCs/>
                <w:sz w:val="14"/>
                <w:szCs w:val="14"/>
              </w:rPr>
            </w:pPr>
            <w:r>
              <w:rPr>
                <w:b/>
                <w:bCs/>
                <w:sz w:val="14"/>
                <w:szCs w:val="14"/>
              </w:rPr>
              <w:t>8,265,979</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8,323,196</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b/>
                <w:bCs/>
                <w:sz w:val="14"/>
                <w:szCs w:val="14"/>
              </w:rPr>
            </w:pPr>
            <w:r>
              <w:rPr>
                <w:b/>
                <w:bCs/>
                <w:sz w:val="14"/>
                <w:szCs w:val="14"/>
              </w:rPr>
              <w:t>8,640,873</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8,656,686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8,755,538</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8,602,896</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99,030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100,825</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99,030</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91,370</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94,461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97,652</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91,901</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1,581,154</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1,589,720</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1,581,154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1,634,612</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1,640,829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1,788,861</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1,727,878</w:t>
            </w:r>
          </w:p>
        </w:tc>
      </w:tr>
      <w:tr w:rsidR="00FD61D4" w:rsidRPr="008245E8" w:rsidTr="001734D6">
        <w:trPr>
          <w:trHeight w:val="245"/>
        </w:trPr>
        <w:tc>
          <w:tcPr>
            <w:tcW w:w="2930" w:type="dxa"/>
            <w:tcBorders>
              <w:top w:val="nil"/>
              <w:left w:val="nil"/>
              <w:bottom w:val="nil"/>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5,172,032</w:t>
            </w:r>
          </w:p>
        </w:tc>
        <w:tc>
          <w:tcPr>
            <w:tcW w:w="794"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5,224,698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5,526,576</w:t>
            </w:r>
          </w:p>
        </w:tc>
        <w:tc>
          <w:tcPr>
            <w:tcW w:w="736"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5,512,862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5,471,707</w:t>
            </w:r>
          </w:p>
        </w:tc>
        <w:tc>
          <w:tcPr>
            <w:tcW w:w="81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5,374,610</w:t>
            </w:r>
          </w:p>
        </w:tc>
      </w:tr>
      <w:tr w:rsidR="00FD61D4"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FD61D4" w:rsidRPr="008245E8" w:rsidRDefault="00FD61D4" w:rsidP="00FD61D4">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1,418,315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1,403,403</w:t>
            </w:r>
          </w:p>
        </w:tc>
        <w:tc>
          <w:tcPr>
            <w:tcW w:w="794"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1,418,315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D61D4" w:rsidRDefault="00FD61D4" w:rsidP="00FD61D4">
            <w:pPr>
              <w:jc w:val="right"/>
              <w:rPr>
                <w:sz w:val="14"/>
                <w:szCs w:val="14"/>
              </w:rPr>
            </w:pPr>
            <w:r>
              <w:rPr>
                <w:sz w:val="14"/>
                <w:szCs w:val="14"/>
              </w:rPr>
              <w:t>1,388,316</w:t>
            </w:r>
          </w:p>
        </w:tc>
        <w:tc>
          <w:tcPr>
            <w:tcW w:w="736"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1,408,533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1,397,319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1,408,507</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B53B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53B15" w:rsidRPr="00E5171C" w:rsidRDefault="00B53B15" w:rsidP="00203D68">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B53B15" w:rsidRPr="00E5171C" w:rsidRDefault="00B53B15" w:rsidP="00203D68">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DE6559">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B53B15" w:rsidRPr="00E5171C" w:rsidRDefault="00B53B15" w:rsidP="00203D68">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B53B15" w:rsidRPr="00E5171C" w:rsidRDefault="00B53B15" w:rsidP="00203D68">
            <w:pPr>
              <w:rPr>
                <w:b/>
                <w:bCs/>
                <w:color w:val="auto"/>
                <w:szCs w:val="16"/>
              </w:rPr>
            </w:pPr>
            <w:r>
              <w:rPr>
                <w:b/>
                <w:bCs/>
                <w:color w:val="auto"/>
                <w:szCs w:val="16"/>
              </w:rPr>
              <w:t>2020</w:t>
            </w:r>
          </w:p>
        </w:tc>
      </w:tr>
      <w:tr w:rsidR="00C81E06"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81E06" w:rsidRPr="00E5171C" w:rsidRDefault="00C81E06" w:rsidP="00C81E06">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proofErr w:type="spellStart"/>
            <w:r>
              <w:rPr>
                <w:b/>
                <w:color w:val="auto"/>
                <w:sz w:val="14"/>
                <w:szCs w:val="14"/>
              </w:rPr>
              <w:t>May</w:t>
            </w:r>
            <w:r w:rsidR="00FD61D4" w:rsidRPr="00FD61D4">
              <w:rPr>
                <w:b/>
                <w:color w:val="auto"/>
                <w:sz w:val="14"/>
                <w:szCs w:val="14"/>
                <w:vertAlign w:val="superscript"/>
              </w:rPr>
              <w:t>R</w:t>
            </w:r>
            <w:proofErr w:type="spellEnd"/>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1,451,331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1,702,070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2,049,966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2,360,770</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1,771,900</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11,771,095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13,393,768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13,345,201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13,478,182</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14,499,736</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8,912,186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10,139,343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10,160,310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10,288,879</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11,077,237</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225,854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421,624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278,180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255,637</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369,567</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367,831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494,902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535,553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547,887</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543,548</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2,389,861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2,797,185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2,860,406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2,866,731</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3,182,727</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5,928,640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6,425,632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6,486,171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6,618,625</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6,981,395</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2,858,909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3,254,424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3,184,891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3,189,303</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3,422,499</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78,947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73,188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71,911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82,483</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78,927</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460,312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595,240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565,501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557,069</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591,289</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819,047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946,147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899,539</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992,225</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1,500,603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1,639,849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1,642,587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1,650,212</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1,760,058</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17</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18</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14</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38,369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41,008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41,821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39,863</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39,072</w:t>
            </w:r>
          </w:p>
        </w:tc>
      </w:tr>
      <w:tr w:rsidR="00FD61D4" w:rsidRPr="00E5171C" w:rsidTr="001734D6">
        <w:trPr>
          <w:trHeight w:val="245"/>
        </w:trPr>
        <w:tc>
          <w:tcPr>
            <w:tcW w:w="3076" w:type="dxa"/>
            <w:tcBorders>
              <w:top w:val="nil"/>
              <w:left w:val="nil"/>
              <w:bottom w:val="nil"/>
              <w:right w:val="nil"/>
            </w:tcBorders>
            <w:shd w:val="clear" w:color="auto" w:fill="auto"/>
            <w:vAlign w:val="center"/>
            <w:hideMark/>
          </w:tcPr>
          <w:p w:rsidR="00FD61D4" w:rsidRPr="00E5171C" w:rsidRDefault="00FD61D4" w:rsidP="00C81E0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20,460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21,616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22,715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20,472</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20,306</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14,904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24,555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25,554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29,954</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28,145</w:t>
            </w:r>
          </w:p>
        </w:tc>
      </w:tr>
      <w:tr w:rsidR="00FD61D4" w:rsidRPr="00E5171C" w:rsidTr="001734D6">
        <w:trPr>
          <w:trHeight w:val="245"/>
        </w:trPr>
        <w:tc>
          <w:tcPr>
            <w:tcW w:w="3076" w:type="dxa"/>
            <w:tcBorders>
              <w:top w:val="nil"/>
              <w:left w:val="nil"/>
              <w:bottom w:val="nil"/>
              <w:right w:val="nil"/>
            </w:tcBorders>
            <w:shd w:val="clear" w:color="auto" w:fill="auto"/>
            <w:vAlign w:val="center"/>
            <w:hideMark/>
          </w:tcPr>
          <w:p w:rsidR="00FD61D4" w:rsidRPr="00E5171C" w:rsidRDefault="00FD61D4" w:rsidP="00C81E0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6,185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16,218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21,799</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19,990</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5,397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6,574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5,349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5,331</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6,447</w:t>
            </w:r>
          </w:p>
        </w:tc>
      </w:tr>
      <w:tr w:rsidR="00FD61D4" w:rsidRPr="00E5171C" w:rsidTr="00D978CC">
        <w:trPr>
          <w:trHeight w:val="245"/>
        </w:trPr>
        <w:tc>
          <w:tcPr>
            <w:tcW w:w="3076" w:type="dxa"/>
            <w:tcBorders>
              <w:top w:val="nil"/>
              <w:left w:val="nil"/>
              <w:bottom w:val="nil"/>
              <w:right w:val="nil"/>
            </w:tcBorders>
            <w:shd w:val="clear" w:color="auto" w:fill="auto"/>
            <w:vAlign w:val="center"/>
            <w:hideMark/>
          </w:tcPr>
          <w:p w:rsidR="00FD61D4" w:rsidRPr="00E5171C" w:rsidRDefault="00FD61D4" w:rsidP="00C81E0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24</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27</w:t>
            </w:r>
          </w:p>
        </w:tc>
      </w:tr>
      <w:tr w:rsidR="00FD61D4" w:rsidRPr="00E5171C" w:rsidTr="001734D6">
        <w:trPr>
          <w:trHeight w:val="245"/>
        </w:trPr>
        <w:tc>
          <w:tcPr>
            <w:tcW w:w="3076" w:type="dxa"/>
            <w:tcBorders>
              <w:top w:val="nil"/>
              <w:left w:val="nil"/>
              <w:bottom w:val="nil"/>
              <w:right w:val="nil"/>
            </w:tcBorders>
            <w:shd w:val="clear" w:color="auto" w:fill="auto"/>
            <w:vAlign w:val="center"/>
            <w:hideMark/>
          </w:tcPr>
          <w:p w:rsidR="00FD61D4" w:rsidRPr="00E5171C" w:rsidRDefault="00FD61D4" w:rsidP="00C81E0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1,693,405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1,943,575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2,071,484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2,053,649</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2,059,884</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629,339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649,008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648,830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649,416</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651,811</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485,880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545,672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538,895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568,023</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600,949</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430,290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471,510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488,712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485,271</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484,743</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147,896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277,385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395,047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350,939</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322,382</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95,763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167,779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262,793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232,906</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149,324</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1,739,122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2,066,189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2,049,383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2,022,511</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2,082,863</w:t>
            </w:r>
          </w:p>
        </w:tc>
      </w:tr>
      <w:tr w:rsidR="00FD61D4" w:rsidRPr="00E5171C" w:rsidTr="001734D6">
        <w:trPr>
          <w:trHeight w:val="245"/>
        </w:trPr>
        <w:tc>
          <w:tcPr>
            <w:tcW w:w="3076" w:type="dxa"/>
            <w:tcBorders>
              <w:top w:val="nil"/>
              <w:left w:val="nil"/>
              <w:bottom w:val="nil"/>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1,597,857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1,783,326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1,735,143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1,752,437</w:t>
            </w:r>
          </w:p>
        </w:tc>
        <w:tc>
          <w:tcPr>
            <w:tcW w:w="792"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1,809,106</w:t>
            </w:r>
          </w:p>
        </w:tc>
      </w:tr>
      <w:tr w:rsidR="00FD61D4"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FD61D4" w:rsidRPr="00E5171C" w:rsidRDefault="00FD61D4" w:rsidP="00C81E06">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(45,501)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5E42A0">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(115,084)</w:t>
            </w:r>
          </w:p>
        </w:tc>
        <w:tc>
          <w:tcPr>
            <w:tcW w:w="720"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(51,447)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(37,168)</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(124,433)</w:t>
            </w:r>
          </w:p>
        </w:tc>
      </w:tr>
      <w:tr w:rsidR="00C81E06"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81E06" w:rsidRDefault="00C81E06" w:rsidP="00C81E06">
            <w:pPr>
              <w:jc w:val="right"/>
              <w:rPr>
                <w:b/>
                <w:bCs/>
                <w:color w:val="auto"/>
                <w:sz w:val="14"/>
                <w:szCs w:val="14"/>
              </w:rPr>
            </w:pPr>
            <w:r>
              <w:rPr>
                <w:sz w:val="14"/>
                <w:szCs w:val="14"/>
              </w:rPr>
              <w:t>Source: Statistics &amp; Data Warehouse Department SBP</w:t>
            </w:r>
          </w:p>
          <w:p w:rsidR="00C81E06" w:rsidRPr="006A1E59" w:rsidRDefault="00C81E06" w:rsidP="00C81E06">
            <w:pPr>
              <w:jc w:val="left"/>
              <w:rPr>
                <w:rFonts w:ascii="Calibri" w:hAnsi="Calibri"/>
                <w:sz w:val="14"/>
                <w:szCs w:val="14"/>
              </w:rPr>
            </w:pPr>
            <w:r w:rsidRPr="006A1E59">
              <w:rPr>
                <w:b/>
                <w:bCs/>
                <w:color w:val="auto"/>
                <w:sz w:val="14"/>
                <w:szCs w:val="14"/>
              </w:rPr>
              <w:t xml:space="preserve">Note:  </w:t>
            </w:r>
          </w:p>
        </w:tc>
      </w:tr>
      <w:tr w:rsidR="00C81E06"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C81E06" w:rsidRPr="006A1E59" w:rsidRDefault="00C81E06" w:rsidP="00C81E06">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proofErr w:type="gramStart"/>
            <w:r w:rsidRPr="006A1E59">
              <w:rPr>
                <w:color w:val="auto"/>
                <w:sz w:val="14"/>
                <w:szCs w:val="14"/>
              </w:rPr>
              <w:t>) .</w:t>
            </w:r>
            <w:proofErr w:type="gramEnd"/>
            <w:r w:rsidRPr="006A1E59">
              <w:rPr>
                <w:color w:val="auto"/>
                <w:sz w:val="14"/>
                <w:szCs w:val="14"/>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C81E06" w:rsidRPr="006A1E59" w:rsidRDefault="00C81E06" w:rsidP="00C81E06">
            <w:pPr>
              <w:numPr>
                <w:ilvl w:val="0"/>
                <w:numId w:val="12"/>
              </w:numPr>
              <w:tabs>
                <w:tab w:val="left" w:pos="450"/>
              </w:tabs>
              <w:ind w:left="360"/>
              <w:jc w:val="left"/>
              <w:rPr>
                <w:color w:val="auto"/>
                <w:sz w:val="14"/>
                <w:szCs w:val="14"/>
              </w:rPr>
            </w:pPr>
            <w:r w:rsidRPr="006A1E59">
              <w:rPr>
                <w:color w:val="auto"/>
                <w:sz w:val="14"/>
                <w:szCs w:val="14"/>
              </w:rPr>
              <w:t xml:space="preserve">The Stock of Government Deposits for July 2019 </w:t>
            </w:r>
            <w:proofErr w:type="gramStart"/>
            <w:r w:rsidRPr="006A1E59">
              <w:rPr>
                <w:color w:val="auto"/>
                <w:sz w:val="14"/>
                <w:szCs w:val="14"/>
              </w:rPr>
              <w:t>have</w:t>
            </w:r>
            <w:proofErr w:type="gramEnd"/>
            <w:r w:rsidRPr="006A1E59">
              <w:rPr>
                <w:color w:val="auto"/>
                <w:sz w:val="14"/>
                <w:szCs w:val="14"/>
              </w:rPr>
              <w:t xml:space="preserve"> been revised due to reclassification of some of the PSEs, which were previously reported under Government Institutions. The coverage of PSEs has been enhanced.</w:t>
            </w:r>
          </w:p>
          <w:p w:rsidR="00C81E06" w:rsidRPr="006A1E59" w:rsidRDefault="00C81E06" w:rsidP="00C81E06">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C81E06" w:rsidRPr="006A1E59" w:rsidRDefault="00C81E06" w:rsidP="00C81E06">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w:t>
            </w:r>
            <w:proofErr w:type="spellStart"/>
            <w:r w:rsidRPr="006A1E59">
              <w:rPr>
                <w:color w:val="auto"/>
                <w:sz w:val="14"/>
                <w:szCs w:val="14"/>
              </w:rPr>
              <w:t>Murabaha</w:t>
            </w:r>
            <w:proofErr w:type="spellEnd"/>
            <w:r w:rsidRPr="006A1E59">
              <w:rPr>
                <w:color w:val="auto"/>
                <w:sz w:val="14"/>
                <w:szCs w:val="14"/>
              </w:rPr>
              <w:t xml:space="preserve"> </w:t>
            </w:r>
            <w:proofErr w:type="spellStart"/>
            <w:r w:rsidRPr="006A1E59">
              <w:rPr>
                <w:color w:val="auto"/>
                <w:sz w:val="14"/>
                <w:szCs w:val="14"/>
              </w:rPr>
              <w:t>etc</w:t>
            </w:r>
            <w:proofErr w:type="spellEnd"/>
            <w:r w:rsidRPr="006A1E59">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1" w:history="1">
              <w:r w:rsidRPr="006A1E59">
                <w:rPr>
                  <w:rStyle w:val="Hyperlink"/>
                  <w:sz w:val="14"/>
                  <w:szCs w:val="14"/>
                </w:rPr>
                <w:t>www.sbp.org.pk/ecodata/Revision_Monetary_Stats.pdf</w:t>
              </w:r>
            </w:hyperlink>
          </w:p>
          <w:p w:rsidR="00C81E06" w:rsidRPr="006A1E59" w:rsidRDefault="00C81E06" w:rsidP="00C81E06">
            <w:pPr>
              <w:tabs>
                <w:tab w:val="left" w:pos="450"/>
              </w:tabs>
              <w:jc w:val="left"/>
              <w:rPr>
                <w:color w:val="auto"/>
                <w:sz w:val="14"/>
                <w:szCs w:val="14"/>
              </w:rPr>
            </w:pPr>
            <w:r w:rsidRPr="006A1E59">
              <w:rPr>
                <w:sz w:val="14"/>
                <w:szCs w:val="14"/>
              </w:rPr>
              <w:t xml:space="preserve">Archive Link:  </w:t>
            </w:r>
            <w:hyperlink r:id="rId12"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B53B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B53B15" w:rsidRPr="002D5FD9" w:rsidRDefault="00B53B15" w:rsidP="00203D68">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B53B15" w:rsidRPr="002D5FD9" w:rsidRDefault="00B53B15" w:rsidP="00203D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B53B15" w:rsidRPr="002D5FD9" w:rsidRDefault="00B53B15" w:rsidP="00203D68">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B53B15" w:rsidRPr="002D5FD9" w:rsidRDefault="00B53B15" w:rsidP="00203D68">
            <w:pPr>
              <w:rPr>
                <w:b/>
                <w:bCs/>
                <w:szCs w:val="16"/>
              </w:rPr>
            </w:pPr>
            <w:r>
              <w:rPr>
                <w:b/>
                <w:bCs/>
                <w:szCs w:val="16"/>
              </w:rPr>
              <w:t>2020</w:t>
            </w:r>
          </w:p>
        </w:tc>
      </w:tr>
      <w:tr w:rsidR="00C81E06"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C81E06" w:rsidRPr="002D5FD9" w:rsidRDefault="00C81E06" w:rsidP="00C81E06">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C81E06" w:rsidRPr="006619BF" w:rsidRDefault="00C81E06" w:rsidP="00C81E06">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C81E06" w:rsidRPr="006619BF" w:rsidRDefault="00C81E06" w:rsidP="00C81E06">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C81E06" w:rsidRPr="006619BF" w:rsidRDefault="00C81E06" w:rsidP="00C81E06">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C81E06" w:rsidRPr="006619BF" w:rsidRDefault="00C81E06" w:rsidP="00C81E06">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vAlign w:val="center"/>
            <w:hideMark/>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vAlign w:val="center"/>
          </w:tcPr>
          <w:p w:rsidR="00C81E06" w:rsidRPr="006619BF" w:rsidRDefault="00C81E06" w:rsidP="00C81E06">
            <w:pPr>
              <w:jc w:val="right"/>
              <w:rPr>
                <w:b/>
                <w:color w:val="auto"/>
                <w:sz w:val="14"/>
                <w:szCs w:val="14"/>
              </w:rPr>
            </w:pPr>
            <w:proofErr w:type="spellStart"/>
            <w:r>
              <w:rPr>
                <w:b/>
                <w:color w:val="auto"/>
                <w:sz w:val="14"/>
                <w:szCs w:val="14"/>
              </w:rPr>
              <w:t>May</w:t>
            </w:r>
            <w:r w:rsidR="002A1179" w:rsidRPr="002A1179">
              <w:rPr>
                <w:b/>
                <w:color w:val="auto"/>
                <w:sz w:val="14"/>
                <w:szCs w:val="14"/>
                <w:vertAlign w:val="superscript"/>
              </w:rPr>
              <w:t>R</w:t>
            </w:r>
            <w:proofErr w:type="spellEnd"/>
          </w:p>
        </w:tc>
        <w:tc>
          <w:tcPr>
            <w:tcW w:w="720" w:type="dxa"/>
            <w:tcBorders>
              <w:top w:val="single" w:sz="4" w:space="0" w:color="auto"/>
              <w:bottom w:val="single" w:sz="12" w:space="0" w:color="auto"/>
              <w:right w:val="nil"/>
            </w:tcBorders>
            <w:shd w:val="clear" w:color="auto" w:fill="auto"/>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(833,736)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(677,314)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(833,736)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(50,822)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107,292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(152,733)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236,226</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3,035,989</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2,823,522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3,035,989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3,746,936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3,792,814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3,553,565</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4,010,858</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3,869,725</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3,500,836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3,869,725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3,797,759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3,685,522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3,706,298</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3,774,632</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20,839,912</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20,069,664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20,839,912</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22,416,736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22,831,260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23,644,728</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23,811,167</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12,490,626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11,777,904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12,490,626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13,750,325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14,149,149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14,863,562</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15,182,724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12,953,916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12,356,978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12,953,916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14,711,091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15,024,442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15,548,261</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15,830,945</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15,187,246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14,335,672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15,187,246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17,125,843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17,733,130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18,257,504</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17,786,706</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1,978,694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2,233,330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2,414,752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2,708,688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2,709,243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1,955,761</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(579,074)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(463,289)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(960,766)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(875,294)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(684,700)</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(648,221)</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569,012</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556,964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569,012</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458,096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503,276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632,323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648,924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1,032,301</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1,136,039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1,032,301</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1,418,862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1,378,570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1,317,022</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1,297,145</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8,349,286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8,291,760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8,349,286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8,666,411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8,682,112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8,781,167</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8,628,443</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103,389</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104,747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103,389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95,714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98,732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102,168</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96,549</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1,581,258</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1,589,822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1,581,258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1,634,673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1,640,895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1,788,894</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1,727,914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5,224,698</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5,172,032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5,526,576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5,512,862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5,471,707</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5,374,610</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1,439,941</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1,425,160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1,439,941</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1,409,448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1,429,622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1,418,398</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1,429,370</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17,451,119</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16,792,805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17,451,119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19,055,008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19,277,712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19,845,075</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20,631,584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4,935,435</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5,017,796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4,935,435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5,657,720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5,929,068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6,363,780</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6,126,974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8,913,564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9,472,216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10,140,806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10,161,749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10,290,337</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11,078,692</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225,857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230,225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421,714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278,248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255,711</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369,642</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367,831</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494,902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535,553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547,887</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543,548</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2,390,018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2,517,381</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2,797,331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2,860,551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2,866,890</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3,182,885</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5,929,859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6,340,740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6,426,859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6,487,397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6,619,849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6,982,617</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3,043,453</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2,861,429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3,043,453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3,256,465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3,186,878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3,190,939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3,425,900</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99,689</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80,812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99,689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74,594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73,239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83,593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81,841</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494,185</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460,312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595,240</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565,501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557,069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591,289</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887,278</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819,047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946,147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899,539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992,225</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1,562,300</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1,501,257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1,562,300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1,640,483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1,643,245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1,650,739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1,760,545</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17</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18</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3</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66,399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67,332</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67,209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68,214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71,995</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74,889</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38,369</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41,008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41,821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39,863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39,072</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20,460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21,616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22,715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20,472</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20,306</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15,257</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14,904</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24,555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25,554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29,954</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28,145</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6,628</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6,185</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16,218</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17,217</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21,799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19,990</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5,397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6,574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5,349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5,331</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6,447</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D61D4" w:rsidRDefault="007C37AC" w:rsidP="00FD61D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24</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27</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i/>
                <w:iCs/>
                <w:sz w:val="14"/>
                <w:szCs w:val="14"/>
              </w:rPr>
            </w:pPr>
            <w:r>
              <w:rPr>
                <w:i/>
                <w:iCs/>
                <w:sz w:val="14"/>
                <w:szCs w:val="14"/>
              </w:rPr>
              <w:t>-</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2,463,113</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2,494,637</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2,463,113</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3,689,805</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3,972,199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4,035,822</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4,096,086</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(37,576)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(20,082)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(37,576)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b/>
                <w:bCs/>
                <w:sz w:val="14"/>
                <w:szCs w:val="14"/>
              </w:rPr>
            </w:pPr>
            <w:r>
              <w:rPr>
                <w:b/>
                <w:bCs/>
                <w:sz w:val="14"/>
                <w:szCs w:val="14"/>
              </w:rPr>
              <w:t>(518,221)</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b/>
                <w:bCs/>
                <w:sz w:val="14"/>
                <w:szCs w:val="14"/>
              </w:rPr>
            </w:pPr>
            <w:r>
              <w:rPr>
                <w:b/>
                <w:bCs/>
                <w:sz w:val="14"/>
                <w:szCs w:val="14"/>
              </w:rPr>
              <w:t>(452,274)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b/>
                <w:bCs/>
                <w:sz w:val="14"/>
                <w:szCs w:val="14"/>
              </w:rPr>
            </w:pPr>
            <w:r>
              <w:rPr>
                <w:b/>
                <w:bCs/>
                <w:sz w:val="14"/>
                <w:szCs w:val="14"/>
              </w:rPr>
              <w:t>(536,019)</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b/>
                <w:bCs/>
                <w:sz w:val="14"/>
                <w:szCs w:val="14"/>
              </w:rPr>
            </w:pPr>
            <w:r>
              <w:rPr>
                <w:b/>
                <w:bCs/>
                <w:sz w:val="14"/>
                <w:szCs w:val="14"/>
              </w:rPr>
              <w:t>(828,804)</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2,136,426</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2,045,748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2,136,426</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2,247,882</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2,231,294</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2,150,395</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2,291,238</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1,871,240</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1,846,278</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1,871,240</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2,585,853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2,572,746</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2,576,383</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2,920,203</w:t>
            </w:r>
          </w:p>
        </w:tc>
      </w:tr>
      <w:tr w:rsidR="00FD61D4"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FD61D4" w:rsidRPr="002D5FD9" w:rsidRDefault="00FD61D4" w:rsidP="00C81E06">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(302,762)</w:t>
            </w:r>
          </w:p>
        </w:tc>
        <w:tc>
          <w:tcPr>
            <w:tcW w:w="762"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(219,552)</w:t>
            </w:r>
          </w:p>
        </w:tc>
        <w:tc>
          <w:tcPr>
            <w:tcW w:w="72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(302,762)</w:t>
            </w:r>
          </w:p>
        </w:tc>
        <w:tc>
          <w:tcPr>
            <w:tcW w:w="810" w:type="dxa"/>
            <w:tcBorders>
              <w:top w:val="nil"/>
              <w:left w:val="nil"/>
              <w:bottom w:val="nil"/>
              <w:right w:val="nil"/>
            </w:tcBorders>
            <w:shd w:val="clear" w:color="auto" w:fill="auto"/>
            <w:tcMar>
              <w:left w:w="43" w:type="dxa"/>
              <w:right w:w="43" w:type="dxa"/>
            </w:tcMar>
            <w:vAlign w:val="center"/>
            <w:hideMark/>
          </w:tcPr>
          <w:p w:rsidR="00FD61D4" w:rsidRDefault="00FD61D4" w:rsidP="00C81E06">
            <w:pPr>
              <w:jc w:val="right"/>
              <w:rPr>
                <w:sz w:val="14"/>
                <w:szCs w:val="14"/>
              </w:rPr>
            </w:pPr>
            <w:r>
              <w:rPr>
                <w:sz w:val="14"/>
                <w:szCs w:val="14"/>
              </w:rPr>
              <w:t>(180,249)</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C81E06">
            <w:pPr>
              <w:jc w:val="right"/>
              <w:rPr>
                <w:sz w:val="14"/>
                <w:szCs w:val="14"/>
              </w:rPr>
            </w:pPr>
            <w:r>
              <w:rPr>
                <w:sz w:val="14"/>
                <w:szCs w:val="14"/>
              </w:rPr>
              <w:t>(110,823)</w:t>
            </w:r>
          </w:p>
        </w:tc>
        <w:tc>
          <w:tcPr>
            <w:tcW w:w="810" w:type="dxa"/>
            <w:tcBorders>
              <w:top w:val="nil"/>
              <w:left w:val="nil"/>
              <w:bottom w:val="nil"/>
              <w:right w:val="nil"/>
            </w:tcBorders>
            <w:shd w:val="clear" w:color="auto" w:fill="auto"/>
            <w:tcMar>
              <w:left w:w="43" w:type="dxa"/>
              <w:right w:w="43" w:type="dxa"/>
            </w:tcMar>
            <w:vAlign w:val="center"/>
          </w:tcPr>
          <w:p w:rsidR="00FD61D4" w:rsidRDefault="00FD61D4" w:rsidP="00FD61D4">
            <w:pPr>
              <w:jc w:val="right"/>
              <w:rPr>
                <w:sz w:val="14"/>
                <w:szCs w:val="14"/>
              </w:rPr>
            </w:pPr>
            <w:r>
              <w:rPr>
                <w:sz w:val="14"/>
                <w:szCs w:val="14"/>
              </w:rPr>
              <w:t>(110,031)</w:t>
            </w:r>
          </w:p>
        </w:tc>
        <w:tc>
          <w:tcPr>
            <w:tcW w:w="720" w:type="dxa"/>
            <w:tcBorders>
              <w:top w:val="nil"/>
              <w:left w:val="nil"/>
              <w:bottom w:val="nil"/>
              <w:right w:val="nil"/>
            </w:tcBorders>
            <w:shd w:val="clear" w:color="auto" w:fill="auto"/>
            <w:noWrap/>
            <w:tcMar>
              <w:left w:w="43" w:type="dxa"/>
              <w:right w:w="43" w:type="dxa"/>
            </w:tcMar>
            <w:vAlign w:val="center"/>
          </w:tcPr>
          <w:p w:rsidR="00FD61D4" w:rsidRDefault="00FD61D4" w:rsidP="00FD61D4">
            <w:pPr>
              <w:jc w:val="right"/>
              <w:rPr>
                <w:sz w:val="14"/>
                <w:szCs w:val="14"/>
              </w:rPr>
            </w:pPr>
            <w:r>
              <w:rPr>
                <w:sz w:val="14"/>
                <w:szCs w:val="14"/>
              </w:rPr>
              <w:t>(199,839)</w:t>
            </w:r>
          </w:p>
        </w:tc>
      </w:tr>
      <w:tr w:rsidR="00C81E06"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C81E06" w:rsidRDefault="00C81E06" w:rsidP="00C81E06">
            <w:pPr>
              <w:ind w:left="360" w:hanging="360"/>
              <w:jc w:val="right"/>
              <w:rPr>
                <w:szCs w:val="18"/>
              </w:rPr>
            </w:pPr>
            <w:r>
              <w:rPr>
                <w:sz w:val="14"/>
                <w:szCs w:val="14"/>
              </w:rPr>
              <w:t>Source: Statistics &amp; Data Warehouse Department SBP</w:t>
            </w:r>
          </w:p>
          <w:p w:rsidR="00C81E06" w:rsidRPr="00916320" w:rsidRDefault="00C81E06" w:rsidP="00C81E06">
            <w:pPr>
              <w:ind w:left="360" w:hanging="360"/>
              <w:jc w:val="left"/>
              <w:rPr>
                <w:rFonts w:asciiTheme="majorBidi" w:hAnsiTheme="majorBidi" w:cstheme="majorBidi"/>
                <w:szCs w:val="18"/>
              </w:rPr>
            </w:pPr>
            <w:r w:rsidRPr="00916320">
              <w:rPr>
                <w:szCs w:val="18"/>
              </w:rPr>
              <w:t xml:space="preserve">Note: </w:t>
            </w:r>
          </w:p>
          <w:p w:rsidR="00C81E06" w:rsidRPr="00916320" w:rsidRDefault="00C81E06" w:rsidP="00C81E06">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w:t>
            </w:r>
            <w:proofErr w:type="spellStart"/>
            <w:r w:rsidRPr="00916320">
              <w:rPr>
                <w:rFonts w:asciiTheme="majorBidi" w:hAnsiTheme="majorBidi" w:cstheme="majorBidi"/>
                <w:sz w:val="14"/>
                <w:szCs w:val="14"/>
              </w:rPr>
              <w:t>Non Bank</w:t>
            </w:r>
            <w:proofErr w:type="spellEnd"/>
            <w:r w:rsidRPr="00916320">
              <w:rPr>
                <w:rFonts w:asciiTheme="majorBidi" w:hAnsiTheme="majorBidi" w:cstheme="majorBidi"/>
                <w:sz w:val="14"/>
                <w:szCs w:val="14"/>
              </w:rPr>
              <w:t xml:space="preserve">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3" w:history="1">
              <w:r w:rsidRPr="00916320">
                <w:rPr>
                  <w:rStyle w:val="Hyperlink"/>
                  <w:rFonts w:asciiTheme="majorBidi" w:hAnsiTheme="majorBidi" w:cstheme="majorBidi"/>
                  <w:sz w:val="14"/>
                  <w:szCs w:val="14"/>
                </w:rPr>
                <w:t>http://www.sbp.org.pk/departments/stats/ntb.htm</w:t>
              </w:r>
            </w:hyperlink>
          </w:p>
          <w:p w:rsidR="00C81E06" w:rsidRPr="00916320" w:rsidRDefault="00C07FEB" w:rsidP="00C81E06">
            <w:pPr>
              <w:pStyle w:val="ListParagraph"/>
              <w:numPr>
                <w:ilvl w:val="0"/>
                <w:numId w:val="15"/>
              </w:numPr>
              <w:rPr>
                <w:rFonts w:asciiTheme="majorBidi" w:hAnsiTheme="majorBidi" w:cstheme="majorBidi"/>
                <w:sz w:val="14"/>
                <w:szCs w:val="14"/>
              </w:rPr>
            </w:pPr>
            <w:hyperlink r:id="rId14" w:history="1">
              <w:r w:rsidR="00C81E06"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C81E06" w:rsidRPr="00916320">
              <w:rPr>
                <w:rFonts w:asciiTheme="majorBidi" w:hAnsiTheme="majorBidi" w:cstheme="majorBidi"/>
                <w:sz w:val="14"/>
                <w:szCs w:val="14"/>
              </w:rPr>
              <w:t xml:space="preserve"> </w:t>
            </w:r>
            <w:hyperlink r:id="rId15" w:history="1">
              <w:r w:rsidR="00C81E06" w:rsidRPr="00916320">
                <w:rPr>
                  <w:rFonts w:asciiTheme="majorBidi" w:hAnsiTheme="majorBidi" w:cstheme="majorBidi"/>
                  <w:color w:val="000000"/>
                  <w:sz w:val="14"/>
                  <w:szCs w:val="14"/>
                </w:rPr>
                <w:t>www.sbp.org.pk/ecodata/Revision_Monetary_Stats.pdf</w:t>
              </w:r>
            </w:hyperlink>
          </w:p>
          <w:p w:rsidR="00C81E06" w:rsidRDefault="00C81E06" w:rsidP="00C81E06">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C81E06" w:rsidRPr="007A445B" w:rsidRDefault="00C81E06" w:rsidP="00C81E06">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6"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C81E06"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C81E06" w:rsidRPr="009B6E8A" w:rsidRDefault="00C81E06" w:rsidP="00C81E06">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r>
              <w:rPr>
                <w:b/>
                <w:bCs/>
                <w:color w:val="auto"/>
                <w:sz w:val="14"/>
                <w:szCs w:val="14"/>
              </w:rPr>
              <w:t>FY19</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C81E06" w:rsidRPr="009B6E8A" w:rsidRDefault="00C81E06" w:rsidP="00C81E06">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C81E06" w:rsidRPr="009B6E8A" w:rsidRDefault="00C81E06" w:rsidP="00C81E06">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C81E06" w:rsidRDefault="00C81E06" w:rsidP="00C81E06">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C81E06" w:rsidRDefault="00C81E06" w:rsidP="00C81E06">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C81E06" w:rsidRDefault="00C81E06" w:rsidP="00C81E0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C81E06" w:rsidRDefault="00C81E06" w:rsidP="00C81E06">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C81E06" w:rsidRDefault="00C81E06" w:rsidP="00C81E06">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81E06" w:rsidRDefault="00C81E06" w:rsidP="00C81E06">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C81E06" w:rsidRDefault="00C81E06" w:rsidP="00C81E06">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C81E06" w:rsidRDefault="00C81E06" w:rsidP="00C81E06">
            <w:pPr>
              <w:jc w:val="right"/>
              <w:rPr>
                <w:b/>
                <w:bCs/>
                <w:sz w:val="13"/>
                <w:szCs w:val="13"/>
              </w:rPr>
            </w:pP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4,950,039</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5,031,826</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4,950,039</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5,672,624</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5,930,357</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6,371,862</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6,142,016</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343,516</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389,234</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343,516</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344,451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312,243</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382,341</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325,508</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33,636</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33,777</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33,636</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33,695</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34,980</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38,095</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41,012</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1,246,239</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871,139</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1,246,239</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947,063</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844,924</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821,932</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1,171,103</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6,573,429</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6,325,976</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6,573,429</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6,997,832</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7,122,505</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7,614,230</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7,679,639</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Pr="00C65960" w:rsidRDefault="002A1179" w:rsidP="00C81E06">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2A1179" w:rsidRPr="00C65960" w:rsidRDefault="002A1179" w:rsidP="00C81E06">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(1,127,203)</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(895,922)</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(1,127,203)</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(353,875)</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(224,471)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(483,204)</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(180,114)</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7,700,632</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7,221,898</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7,700,632</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7,351,707</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7,346,976</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8,097,433</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7,859,753</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6,675,650</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6,179,840</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6,675,650</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6,201,264</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5,943,470</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6,374,529</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6,542,480</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6,691,870</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6,194,713</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6,691,870</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6,211,471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5,955,402</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6,390,482</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6,556,991</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6,833,275</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6,453,541</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6,833,275</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6,680,302</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6,460,468</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6,764,664</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6,768,318</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(967,305)</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(821,625)</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(967,305)</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(1,119,397)</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(1,393,946)</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(1,189,040)</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(546,371)</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(127,135)</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(226,707)</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(127,135)</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(430,303)</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(469,805)</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(333,568)</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(192,737)</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(19,072)</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(36,336)</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(19,072)</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(75,766)</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(73,121)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(77,110)</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(39,105)</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(16,983)</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(37,336)</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(16,983)</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(81,103)</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(70,034)</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(44,380)</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(8,321)</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(70,339)</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(121,768)</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(70,339)</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(189,335)</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(226,444)</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(152,502)</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(81,570)</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(20,741)</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(31,266)</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(20,741)</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(84,098)</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(100,207)</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(59,576)</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(63,741)</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(97)</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(10,450)</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(97)</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(18,366)</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(16,331)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(19,451)</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(5,047)</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(14,174)</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(21,671)</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(14,174)</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(20,162)</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(18,930)</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(21,163)</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(13,543)</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(16,220)</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(14,873)</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(16,220)</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(10,208)</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(11,932)</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(15,953)</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(14,510)</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Default="002A1179" w:rsidP="00C81E06">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694,966</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673,790</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694,966</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828,661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845,311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869,015</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897,424</w:t>
            </w:r>
          </w:p>
        </w:tc>
      </w:tr>
      <w:tr w:rsidR="002A1179"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2A1179" w:rsidRPr="008C32C5" w:rsidRDefault="002A1179" w:rsidP="00C81E06">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682,889</w:t>
            </w:r>
          </w:p>
        </w:tc>
        <w:tc>
          <w:tcPr>
            <w:tcW w:w="756"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679,479</w:t>
            </w:r>
          </w:p>
        </w:tc>
        <w:tc>
          <w:tcPr>
            <w:tcW w:w="810" w:type="dxa"/>
            <w:tcBorders>
              <w:top w:val="nil"/>
              <w:left w:val="nil"/>
              <w:bottom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682,889</w:t>
            </w:r>
          </w:p>
        </w:tc>
        <w:tc>
          <w:tcPr>
            <w:tcW w:w="810" w:type="dxa"/>
            <w:tcBorders>
              <w:top w:val="nil"/>
              <w:left w:val="nil"/>
              <w:bottom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815,411</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831,936</w:t>
            </w:r>
          </w:p>
        </w:tc>
        <w:tc>
          <w:tcPr>
            <w:tcW w:w="810" w:type="dxa"/>
            <w:tcBorders>
              <w:top w:val="nil"/>
              <w:left w:val="nil"/>
              <w:bottom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854,793</w:t>
            </w:r>
          </w:p>
        </w:tc>
        <w:tc>
          <w:tcPr>
            <w:tcW w:w="761" w:type="dxa"/>
            <w:tcBorders>
              <w:top w:val="nil"/>
              <w:left w:val="nil"/>
              <w:bottom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882,779</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2A1179" w:rsidRDefault="002A1179" w:rsidP="00C81E06">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1,279</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1,122</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1,279</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1,727</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1,813</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1,880</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1,972</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2A1179" w:rsidRDefault="002A1179" w:rsidP="00C81E06">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150,030</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146,930</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150,030</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182,476</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184,856</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188,603</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191,951</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2A1179" w:rsidRDefault="002A1179" w:rsidP="00C81E06">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386,843</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385,760</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386,843</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508,506</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522,814</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533,635</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528,036</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2A1179" w:rsidRDefault="002A1179" w:rsidP="00C81E06">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2A1179" w:rsidRPr="008C32C5" w:rsidRDefault="002A1179" w:rsidP="00C81E06">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2A1179" w:rsidRDefault="002A1179" w:rsidP="00C81E06">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144,737</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145,666</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144,737</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122,703</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122,454</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130,675</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160,820</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2A1179" w:rsidRPr="008C32C5" w:rsidRDefault="002A1179" w:rsidP="00C81E06">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36,321</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18,556</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36,321</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37,494</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37,618</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38,466</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38,889</w:t>
            </w:r>
          </w:p>
        </w:tc>
      </w:tr>
      <w:tr w:rsidR="002A1179"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2A1179" w:rsidRDefault="002A1179" w:rsidP="00C81E06">
            <w:pPr>
              <w:ind w:firstLineChars="196" w:firstLine="314"/>
              <w:jc w:val="left"/>
              <w:rPr>
                <w:szCs w:val="16"/>
              </w:rPr>
            </w:pPr>
            <w:r>
              <w:rPr>
                <w:szCs w:val="16"/>
              </w:rPr>
              <w:t>iii. PSEs Special A/C</w:t>
            </w:r>
            <w:r w:rsidRPr="008C32C5">
              <w:rPr>
                <w:szCs w:val="16"/>
              </w:rPr>
              <w:t xml:space="preserve"> Debt Repayment</w:t>
            </w:r>
          </w:p>
          <w:p w:rsidR="002A1179" w:rsidRPr="008C32C5" w:rsidRDefault="002A1179" w:rsidP="00C81E06">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sz w:val="14"/>
                <w:szCs w:val="14"/>
              </w:rPr>
            </w:pPr>
            <w:r>
              <w:rPr>
                <w:sz w:val="14"/>
                <w:szCs w:val="14"/>
              </w:rPr>
              <w:t>(24,244)</w:t>
            </w:r>
          </w:p>
        </w:tc>
      </w:tr>
      <w:tr w:rsidR="002A1179"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2A1179" w:rsidRDefault="002A1179" w:rsidP="00C81E06">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330,016</w:t>
            </w: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368,268</w:t>
            </w: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330,016</w:t>
            </w: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321,783</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558,196</w:t>
            </w: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853,889</w:t>
            </w: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419,848</w:t>
            </w:r>
          </w:p>
        </w:tc>
      </w:tr>
      <w:tr w:rsidR="002A1179"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2A1179" w:rsidRPr="00F12B79" w:rsidRDefault="002A1179" w:rsidP="00C81E06">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2A1179" w:rsidRPr="00F12B79" w:rsidRDefault="002A1179" w:rsidP="00C81E06">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2A1179" w:rsidRPr="00F12B79" w:rsidRDefault="002A1179" w:rsidP="00C81E06">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2A1179" w:rsidRDefault="002A1179" w:rsidP="002A1179">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2A1179" w:rsidRDefault="002A1179" w:rsidP="00C81E06">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2A1179" w:rsidRDefault="002A1179" w:rsidP="002A1179">
            <w:pPr>
              <w:jc w:val="right"/>
              <w:rPr>
                <w:b/>
                <w:bCs/>
                <w:sz w:val="14"/>
                <w:szCs w:val="14"/>
              </w:rPr>
            </w:pPr>
          </w:p>
        </w:tc>
      </w:tr>
      <w:tr w:rsidR="002A1179"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2A1179" w:rsidRDefault="002A1179" w:rsidP="00C81E06">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6,573,429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6,325,976</w:t>
            </w:r>
          </w:p>
        </w:tc>
        <w:tc>
          <w:tcPr>
            <w:tcW w:w="810" w:type="dxa"/>
            <w:tcBorders>
              <w:left w:val="nil"/>
              <w:bottom w:val="single" w:sz="12" w:space="0" w:color="auto"/>
              <w:right w:val="nil"/>
            </w:tcBorders>
            <w:shd w:val="clear" w:color="auto" w:fill="auto"/>
            <w:tcMar>
              <w:left w:w="43" w:type="dxa"/>
              <w:right w:w="43" w:type="dxa"/>
            </w:tcMar>
            <w:vAlign w:val="center"/>
          </w:tcPr>
          <w:p w:rsidR="002A1179" w:rsidRDefault="002A1179" w:rsidP="002A1179">
            <w:pPr>
              <w:jc w:val="right"/>
              <w:rPr>
                <w:b/>
                <w:bCs/>
                <w:sz w:val="14"/>
                <w:szCs w:val="14"/>
              </w:rPr>
            </w:pPr>
            <w:r>
              <w:rPr>
                <w:b/>
                <w:bCs/>
                <w:sz w:val="14"/>
                <w:szCs w:val="14"/>
              </w:rPr>
              <w:t>6,573,429</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2A1179" w:rsidRDefault="002A1179" w:rsidP="00C81E06">
            <w:pPr>
              <w:jc w:val="right"/>
              <w:rPr>
                <w:b/>
                <w:bCs/>
                <w:sz w:val="14"/>
                <w:szCs w:val="14"/>
              </w:rPr>
            </w:pPr>
            <w:r>
              <w:rPr>
                <w:b/>
                <w:bCs/>
                <w:sz w:val="14"/>
                <w:szCs w:val="14"/>
              </w:rPr>
              <w:t>6,997,832</w:t>
            </w:r>
          </w:p>
        </w:tc>
        <w:tc>
          <w:tcPr>
            <w:tcW w:w="810" w:type="dxa"/>
            <w:tcBorders>
              <w:left w:val="nil"/>
              <w:bottom w:val="single" w:sz="12" w:space="0" w:color="auto"/>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7,122,505</w:t>
            </w:r>
          </w:p>
        </w:tc>
        <w:tc>
          <w:tcPr>
            <w:tcW w:w="810" w:type="dxa"/>
            <w:tcBorders>
              <w:left w:val="nil"/>
              <w:bottom w:val="single" w:sz="12" w:space="0" w:color="auto"/>
              <w:right w:val="nil"/>
            </w:tcBorders>
            <w:shd w:val="clear" w:color="auto" w:fill="auto"/>
            <w:noWrap/>
            <w:tcMar>
              <w:left w:w="43" w:type="dxa"/>
              <w:right w:w="43" w:type="dxa"/>
            </w:tcMar>
            <w:vAlign w:val="center"/>
          </w:tcPr>
          <w:p w:rsidR="002A1179" w:rsidRDefault="002A1179" w:rsidP="00C81E06">
            <w:pPr>
              <w:jc w:val="right"/>
              <w:rPr>
                <w:b/>
                <w:bCs/>
                <w:sz w:val="14"/>
                <w:szCs w:val="14"/>
              </w:rPr>
            </w:pPr>
            <w:r>
              <w:rPr>
                <w:b/>
                <w:bCs/>
                <w:sz w:val="14"/>
                <w:szCs w:val="14"/>
              </w:rPr>
              <w:t>7,614,230</w:t>
            </w:r>
          </w:p>
        </w:tc>
        <w:tc>
          <w:tcPr>
            <w:tcW w:w="761" w:type="dxa"/>
            <w:tcBorders>
              <w:left w:val="nil"/>
              <w:bottom w:val="single" w:sz="12" w:space="0" w:color="auto"/>
              <w:right w:val="nil"/>
            </w:tcBorders>
            <w:shd w:val="clear" w:color="auto" w:fill="auto"/>
            <w:noWrap/>
            <w:tcMar>
              <w:left w:w="43" w:type="dxa"/>
              <w:right w:w="43" w:type="dxa"/>
            </w:tcMar>
            <w:vAlign w:val="center"/>
          </w:tcPr>
          <w:p w:rsidR="002A1179" w:rsidRDefault="002A1179" w:rsidP="002A1179">
            <w:pPr>
              <w:jc w:val="right"/>
              <w:rPr>
                <w:b/>
                <w:bCs/>
                <w:sz w:val="14"/>
                <w:szCs w:val="14"/>
              </w:rPr>
            </w:pPr>
            <w:r>
              <w:rPr>
                <w:b/>
                <w:bCs/>
                <w:sz w:val="14"/>
                <w:szCs w:val="14"/>
              </w:rPr>
              <w:t>7,679,639</w:t>
            </w:r>
          </w:p>
        </w:tc>
      </w:tr>
      <w:tr w:rsidR="00C81E06"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C81E06" w:rsidRPr="00691090" w:rsidRDefault="00C81E06" w:rsidP="00C81E06">
            <w:pPr>
              <w:jc w:val="right"/>
              <w:rPr>
                <w:sz w:val="14"/>
                <w:szCs w:val="14"/>
              </w:rPr>
            </w:pPr>
            <w:r>
              <w:rPr>
                <w:sz w:val="14"/>
                <w:szCs w:val="14"/>
              </w:rPr>
              <w:t>Source: Statistics &amp; Data Warehouse Department SBP</w:t>
            </w:r>
          </w:p>
        </w:tc>
      </w:tr>
      <w:tr w:rsidR="00C81E06"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C81E06" w:rsidRPr="00916320" w:rsidRDefault="00C81E06" w:rsidP="00C81E06">
            <w:pPr>
              <w:ind w:left="405" w:hanging="180"/>
              <w:jc w:val="left"/>
              <w:rPr>
                <w:color w:val="auto"/>
                <w:sz w:val="14"/>
                <w:szCs w:val="14"/>
              </w:rPr>
            </w:pPr>
            <w:r w:rsidRPr="00916320">
              <w:rPr>
                <w:color w:val="auto"/>
                <w:sz w:val="14"/>
                <w:szCs w:val="14"/>
              </w:rPr>
              <w:t>Note:-</w:t>
            </w:r>
          </w:p>
          <w:p w:rsidR="00C81E06" w:rsidRPr="00916320" w:rsidRDefault="00C81E06" w:rsidP="00C81E06">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C81E06" w:rsidRPr="00916320" w:rsidRDefault="00C81E06" w:rsidP="00C81E06">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C81E06" w:rsidRPr="00FF243E" w:rsidRDefault="00C81E06" w:rsidP="00C81E06">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C81E06"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C81E06" w:rsidRDefault="00C81E06" w:rsidP="00C81E06">
            <w:pPr>
              <w:rPr>
                <w:b/>
                <w:bCs/>
                <w:sz w:val="28"/>
                <w:szCs w:val="28"/>
              </w:rPr>
            </w:pPr>
            <w:r>
              <w:rPr>
                <w:b/>
                <w:bCs/>
                <w:sz w:val="28"/>
                <w:szCs w:val="28"/>
              </w:rPr>
              <w:t>2.5   Currency in Circulation</w:t>
            </w:r>
          </w:p>
        </w:tc>
      </w:tr>
      <w:tr w:rsidR="00C81E06"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C81E06" w:rsidRDefault="00C81E06" w:rsidP="00C81E06">
            <w:pPr>
              <w:jc w:val="right"/>
              <w:rPr>
                <w:szCs w:val="16"/>
              </w:rPr>
            </w:pPr>
            <w:r>
              <w:rPr>
                <w:szCs w:val="16"/>
              </w:rPr>
              <w:t>( Million  Rupees )</w:t>
            </w:r>
          </w:p>
        </w:tc>
      </w:tr>
      <w:tr w:rsidR="00C81E06"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C81E06" w:rsidRPr="009B6E8A" w:rsidRDefault="00C81E06" w:rsidP="00C81E06">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C81E06" w:rsidRPr="000D5A5A" w:rsidRDefault="00C81E06" w:rsidP="00C81E06">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81E06" w:rsidRPr="000D5A5A" w:rsidRDefault="00C81E06" w:rsidP="00C81E06">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C81E06" w:rsidRPr="000D5A5A" w:rsidRDefault="00C81E06" w:rsidP="00C81E06">
            <w:pPr>
              <w:rPr>
                <w:b/>
                <w:bCs/>
                <w:color w:val="auto"/>
                <w:szCs w:val="16"/>
              </w:rPr>
            </w:pPr>
            <w:r>
              <w:rPr>
                <w:b/>
                <w:bCs/>
                <w:color w:val="auto"/>
                <w:szCs w:val="16"/>
              </w:rPr>
              <w:t>2020</w:t>
            </w:r>
          </w:p>
        </w:tc>
      </w:tr>
      <w:tr w:rsidR="00C81E06"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C81E06" w:rsidRPr="009B6E8A" w:rsidRDefault="00C81E06" w:rsidP="00C81E06">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C81E06" w:rsidRPr="009B6E8A" w:rsidRDefault="00C81E06" w:rsidP="00C81E06">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r>
              <w:rPr>
                <w:b/>
                <w:bCs/>
                <w:color w:val="auto"/>
                <w:sz w:val="14"/>
                <w:szCs w:val="14"/>
              </w:rPr>
              <w:t>FY19</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nil"/>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nil"/>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1" w:type="dxa"/>
            <w:tcBorders>
              <w:top w:val="nil"/>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DF6C02" w:rsidRPr="009B6E8A" w:rsidTr="00DF6C02">
        <w:trPr>
          <w:trHeight w:hRule="exact" w:val="236"/>
          <w:jc w:val="center"/>
        </w:trPr>
        <w:tc>
          <w:tcPr>
            <w:tcW w:w="236" w:type="dxa"/>
            <w:tcBorders>
              <w:top w:val="single" w:sz="12" w:space="0" w:color="auto"/>
              <w:left w:val="nil"/>
            </w:tcBorders>
            <w:shd w:val="clear" w:color="auto" w:fill="auto"/>
            <w:noWrap/>
            <w:vAlign w:val="center"/>
            <w:hideMark/>
          </w:tcPr>
          <w:p w:rsidR="00DF6C02" w:rsidRDefault="00DF6C02" w:rsidP="00C81E06">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DF6C02" w:rsidRDefault="00DF6C02" w:rsidP="00C81E06">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5,285,026</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5,412,362</w:t>
            </w:r>
          </w:p>
        </w:tc>
        <w:tc>
          <w:tcPr>
            <w:tcW w:w="810" w:type="dxa"/>
            <w:tcBorders>
              <w:top w:val="single" w:sz="12" w:space="0" w:color="auto"/>
              <w:left w:val="nil"/>
              <w:right w:val="nil"/>
            </w:tcBorders>
            <w:shd w:val="clear" w:color="auto" w:fill="auto"/>
            <w:tcMar>
              <w:left w:w="43" w:type="dxa"/>
              <w:right w:w="43" w:type="dxa"/>
            </w:tcMar>
            <w:vAlign w:val="center"/>
          </w:tcPr>
          <w:p w:rsidR="00DF6C02" w:rsidRDefault="00DF6C02" w:rsidP="00DF6C02">
            <w:pPr>
              <w:jc w:val="right"/>
              <w:rPr>
                <w:sz w:val="14"/>
                <w:szCs w:val="14"/>
              </w:rPr>
            </w:pPr>
            <w:r>
              <w:rPr>
                <w:sz w:val="14"/>
                <w:szCs w:val="14"/>
              </w:rPr>
              <w:t>5,285,026</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F6C02" w:rsidRDefault="00DF6C02" w:rsidP="00C81E06">
            <w:pPr>
              <w:jc w:val="right"/>
              <w:rPr>
                <w:color w:val="auto"/>
                <w:sz w:val="14"/>
                <w:szCs w:val="14"/>
              </w:rPr>
            </w:pPr>
            <w:r>
              <w:rPr>
                <w:sz w:val="14"/>
                <w:szCs w:val="14"/>
              </w:rPr>
              <w:t>6,007,758</w:t>
            </w:r>
          </w:p>
        </w:tc>
        <w:tc>
          <w:tcPr>
            <w:tcW w:w="810" w:type="dxa"/>
            <w:tcBorders>
              <w:top w:val="single" w:sz="12" w:space="0" w:color="auto"/>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6,233,281</w:t>
            </w:r>
          </w:p>
        </w:tc>
        <w:tc>
          <w:tcPr>
            <w:tcW w:w="810" w:type="dxa"/>
            <w:tcBorders>
              <w:top w:val="single" w:sz="12" w:space="0" w:color="auto"/>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6,744,868</w:t>
            </w:r>
          </w:p>
        </w:tc>
        <w:tc>
          <w:tcPr>
            <w:tcW w:w="761" w:type="dxa"/>
            <w:tcBorders>
              <w:top w:val="single" w:sz="12" w:space="0" w:color="auto"/>
              <w:left w:val="nil"/>
              <w:right w:val="nil"/>
            </w:tcBorders>
            <w:shd w:val="clear" w:color="auto" w:fill="auto"/>
            <w:noWrap/>
            <w:tcMar>
              <w:left w:w="43" w:type="dxa"/>
              <w:right w:w="43" w:type="dxa"/>
            </w:tcMar>
            <w:vAlign w:val="center"/>
          </w:tcPr>
          <w:p w:rsidR="00DF6C02" w:rsidRDefault="00DF6C02" w:rsidP="00DF6C02">
            <w:pPr>
              <w:jc w:val="right"/>
              <w:rPr>
                <w:sz w:val="14"/>
                <w:szCs w:val="14"/>
              </w:rPr>
            </w:pPr>
            <w:r>
              <w:rPr>
                <w:sz w:val="14"/>
                <w:szCs w:val="14"/>
              </w:rPr>
              <w:t>6,458,763</w:t>
            </w:r>
          </w:p>
        </w:tc>
      </w:tr>
      <w:tr w:rsidR="00DF6C02" w:rsidRPr="009B6E8A" w:rsidTr="00DF6C02">
        <w:trPr>
          <w:trHeight w:hRule="exact" w:val="236"/>
          <w:jc w:val="center"/>
        </w:trPr>
        <w:tc>
          <w:tcPr>
            <w:tcW w:w="236" w:type="dxa"/>
            <w:tcBorders>
              <w:top w:val="nil"/>
              <w:left w:val="nil"/>
            </w:tcBorders>
            <w:shd w:val="clear" w:color="auto" w:fill="auto"/>
            <w:noWrap/>
            <w:vAlign w:val="center"/>
            <w:hideMark/>
          </w:tcPr>
          <w:p w:rsidR="00DF6C02" w:rsidRDefault="00DF6C02" w:rsidP="00C81E06">
            <w:pPr>
              <w:jc w:val="left"/>
              <w:rPr>
                <w:sz w:val="14"/>
                <w:szCs w:val="14"/>
              </w:rPr>
            </w:pPr>
            <w:r>
              <w:rPr>
                <w:sz w:val="14"/>
                <w:szCs w:val="14"/>
              </w:rPr>
              <w:t>2</w:t>
            </w:r>
          </w:p>
        </w:tc>
        <w:tc>
          <w:tcPr>
            <w:tcW w:w="3105" w:type="dxa"/>
            <w:tcBorders>
              <w:top w:val="nil"/>
              <w:right w:val="nil"/>
            </w:tcBorders>
            <w:shd w:val="clear" w:color="auto" w:fill="auto"/>
            <w:vAlign w:val="center"/>
          </w:tcPr>
          <w:p w:rsidR="00DF6C02" w:rsidRDefault="00DF6C02" w:rsidP="00C81E06">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9,728</w:t>
            </w:r>
          </w:p>
        </w:tc>
        <w:tc>
          <w:tcPr>
            <w:tcW w:w="756"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9,676</w:t>
            </w:r>
          </w:p>
        </w:tc>
        <w:tc>
          <w:tcPr>
            <w:tcW w:w="810" w:type="dxa"/>
            <w:tcBorders>
              <w:top w:val="nil"/>
              <w:left w:val="nil"/>
              <w:right w:val="nil"/>
            </w:tcBorders>
            <w:shd w:val="clear" w:color="auto" w:fill="auto"/>
            <w:tcMar>
              <w:left w:w="43" w:type="dxa"/>
              <w:right w:w="43" w:type="dxa"/>
            </w:tcMar>
            <w:vAlign w:val="center"/>
          </w:tcPr>
          <w:p w:rsidR="00DF6C02" w:rsidRDefault="00DF6C02" w:rsidP="00DF6C02">
            <w:pPr>
              <w:jc w:val="right"/>
              <w:rPr>
                <w:sz w:val="14"/>
                <w:szCs w:val="14"/>
              </w:rPr>
            </w:pPr>
            <w:r>
              <w:rPr>
                <w:sz w:val="14"/>
                <w:szCs w:val="14"/>
              </w:rPr>
              <w:t>9,728</w:t>
            </w:r>
          </w:p>
        </w:tc>
        <w:tc>
          <w:tcPr>
            <w:tcW w:w="810"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10,056</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9,937</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9,935</w:t>
            </w:r>
          </w:p>
        </w:tc>
        <w:tc>
          <w:tcPr>
            <w:tcW w:w="761" w:type="dxa"/>
            <w:tcBorders>
              <w:top w:val="nil"/>
              <w:left w:val="nil"/>
              <w:right w:val="nil"/>
            </w:tcBorders>
            <w:shd w:val="clear" w:color="auto" w:fill="auto"/>
            <w:noWrap/>
            <w:tcMar>
              <w:left w:w="43" w:type="dxa"/>
              <w:right w:w="43" w:type="dxa"/>
            </w:tcMar>
            <w:vAlign w:val="center"/>
          </w:tcPr>
          <w:p w:rsidR="00DF6C02" w:rsidRDefault="00DF6C02" w:rsidP="00DF6C02">
            <w:pPr>
              <w:jc w:val="right"/>
              <w:rPr>
                <w:sz w:val="14"/>
                <w:szCs w:val="14"/>
              </w:rPr>
            </w:pPr>
            <w:r>
              <w:rPr>
                <w:sz w:val="14"/>
                <w:szCs w:val="14"/>
              </w:rPr>
              <w:t>9,962</w:t>
            </w:r>
          </w:p>
        </w:tc>
      </w:tr>
      <w:tr w:rsidR="00DF6C02" w:rsidRPr="009B6E8A" w:rsidTr="00DF6C02">
        <w:trPr>
          <w:trHeight w:hRule="exact" w:val="236"/>
          <w:jc w:val="center"/>
        </w:trPr>
        <w:tc>
          <w:tcPr>
            <w:tcW w:w="236" w:type="dxa"/>
            <w:tcBorders>
              <w:top w:val="nil"/>
              <w:left w:val="nil"/>
            </w:tcBorders>
            <w:shd w:val="clear" w:color="auto" w:fill="auto"/>
            <w:noWrap/>
            <w:vAlign w:val="center"/>
            <w:hideMark/>
          </w:tcPr>
          <w:p w:rsidR="00DF6C02" w:rsidRDefault="00DF6C02" w:rsidP="00C81E06">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DF6C02" w:rsidRDefault="00DF6C02" w:rsidP="00C81E06">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5,294,754</w:t>
            </w:r>
          </w:p>
        </w:tc>
        <w:tc>
          <w:tcPr>
            <w:tcW w:w="756"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b/>
                <w:bCs/>
                <w:sz w:val="14"/>
                <w:szCs w:val="14"/>
              </w:rPr>
            </w:pPr>
            <w:r>
              <w:rPr>
                <w:b/>
                <w:bCs/>
                <w:sz w:val="14"/>
                <w:szCs w:val="14"/>
              </w:rPr>
              <w:t>5,422,038</w:t>
            </w:r>
          </w:p>
        </w:tc>
        <w:tc>
          <w:tcPr>
            <w:tcW w:w="810" w:type="dxa"/>
            <w:tcBorders>
              <w:top w:val="nil"/>
              <w:left w:val="nil"/>
              <w:right w:val="nil"/>
            </w:tcBorders>
            <w:shd w:val="clear" w:color="auto" w:fill="auto"/>
            <w:tcMar>
              <w:left w:w="43" w:type="dxa"/>
              <w:right w:w="43" w:type="dxa"/>
            </w:tcMar>
            <w:vAlign w:val="center"/>
          </w:tcPr>
          <w:p w:rsidR="00DF6C02" w:rsidRDefault="00DF6C02" w:rsidP="00DF6C02">
            <w:pPr>
              <w:jc w:val="right"/>
              <w:rPr>
                <w:b/>
                <w:bCs/>
                <w:sz w:val="14"/>
                <w:szCs w:val="14"/>
              </w:rPr>
            </w:pPr>
            <w:r>
              <w:rPr>
                <w:b/>
                <w:bCs/>
                <w:sz w:val="14"/>
                <w:szCs w:val="14"/>
              </w:rPr>
              <w:t>5,294,754</w:t>
            </w:r>
          </w:p>
        </w:tc>
        <w:tc>
          <w:tcPr>
            <w:tcW w:w="810"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b/>
                <w:bCs/>
                <w:sz w:val="14"/>
                <w:szCs w:val="14"/>
              </w:rPr>
            </w:pPr>
            <w:r>
              <w:rPr>
                <w:b/>
                <w:bCs/>
                <w:sz w:val="14"/>
                <w:szCs w:val="14"/>
              </w:rPr>
              <w:t>6,017,814</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6,243,218</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6,754,803</w:t>
            </w:r>
          </w:p>
        </w:tc>
        <w:tc>
          <w:tcPr>
            <w:tcW w:w="761" w:type="dxa"/>
            <w:tcBorders>
              <w:top w:val="nil"/>
              <w:left w:val="nil"/>
              <w:right w:val="nil"/>
            </w:tcBorders>
            <w:shd w:val="clear" w:color="auto" w:fill="auto"/>
            <w:noWrap/>
            <w:tcMar>
              <w:left w:w="43" w:type="dxa"/>
              <w:right w:w="43" w:type="dxa"/>
            </w:tcMar>
            <w:vAlign w:val="center"/>
          </w:tcPr>
          <w:p w:rsidR="00DF6C02" w:rsidRDefault="00DF6C02" w:rsidP="00DF6C02">
            <w:pPr>
              <w:jc w:val="right"/>
              <w:rPr>
                <w:b/>
                <w:bCs/>
                <w:sz w:val="14"/>
                <w:szCs w:val="14"/>
              </w:rPr>
            </w:pPr>
            <w:r>
              <w:rPr>
                <w:b/>
                <w:bCs/>
                <w:sz w:val="14"/>
                <w:szCs w:val="14"/>
              </w:rPr>
              <w:t>6,468,725</w:t>
            </w:r>
          </w:p>
        </w:tc>
      </w:tr>
      <w:tr w:rsidR="00DF6C02" w:rsidRPr="009B6E8A" w:rsidTr="00DF6C02">
        <w:trPr>
          <w:trHeight w:hRule="exact" w:val="236"/>
          <w:jc w:val="center"/>
        </w:trPr>
        <w:tc>
          <w:tcPr>
            <w:tcW w:w="236" w:type="dxa"/>
            <w:tcBorders>
              <w:top w:val="nil"/>
              <w:left w:val="nil"/>
            </w:tcBorders>
            <w:shd w:val="clear" w:color="auto" w:fill="auto"/>
            <w:noWrap/>
            <w:vAlign w:val="center"/>
            <w:hideMark/>
          </w:tcPr>
          <w:p w:rsidR="00DF6C02" w:rsidRDefault="00DF6C02" w:rsidP="00C81E06">
            <w:pPr>
              <w:jc w:val="left"/>
              <w:rPr>
                <w:sz w:val="14"/>
                <w:szCs w:val="14"/>
              </w:rPr>
            </w:pPr>
            <w:r>
              <w:rPr>
                <w:sz w:val="14"/>
                <w:szCs w:val="14"/>
              </w:rPr>
              <w:t>4</w:t>
            </w:r>
          </w:p>
        </w:tc>
        <w:tc>
          <w:tcPr>
            <w:tcW w:w="3105" w:type="dxa"/>
            <w:tcBorders>
              <w:top w:val="nil"/>
              <w:right w:val="nil"/>
            </w:tcBorders>
            <w:shd w:val="clear" w:color="auto" w:fill="auto"/>
            <w:vAlign w:val="center"/>
          </w:tcPr>
          <w:p w:rsidR="00DF6C02" w:rsidRDefault="00DF6C02" w:rsidP="00C81E06">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160</w:t>
            </w:r>
          </w:p>
        </w:tc>
        <w:tc>
          <w:tcPr>
            <w:tcW w:w="756"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107</w:t>
            </w:r>
          </w:p>
        </w:tc>
        <w:tc>
          <w:tcPr>
            <w:tcW w:w="810" w:type="dxa"/>
            <w:tcBorders>
              <w:top w:val="nil"/>
              <w:left w:val="nil"/>
              <w:right w:val="nil"/>
            </w:tcBorders>
            <w:shd w:val="clear" w:color="auto" w:fill="auto"/>
            <w:tcMar>
              <w:left w:w="43" w:type="dxa"/>
              <w:right w:w="43" w:type="dxa"/>
            </w:tcMar>
            <w:vAlign w:val="center"/>
          </w:tcPr>
          <w:p w:rsidR="00DF6C02" w:rsidRDefault="00DF6C02" w:rsidP="00DF6C02">
            <w:pPr>
              <w:jc w:val="right"/>
              <w:rPr>
                <w:sz w:val="14"/>
                <w:szCs w:val="14"/>
              </w:rPr>
            </w:pPr>
            <w:r>
              <w:rPr>
                <w:sz w:val="14"/>
                <w:szCs w:val="14"/>
              </w:rPr>
              <w:t>160</w:t>
            </w:r>
          </w:p>
        </w:tc>
        <w:tc>
          <w:tcPr>
            <w:tcW w:w="810"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267</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148</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146</w:t>
            </w:r>
          </w:p>
        </w:tc>
        <w:tc>
          <w:tcPr>
            <w:tcW w:w="761" w:type="dxa"/>
            <w:tcBorders>
              <w:top w:val="nil"/>
              <w:left w:val="nil"/>
              <w:right w:val="nil"/>
            </w:tcBorders>
            <w:shd w:val="clear" w:color="auto" w:fill="auto"/>
            <w:noWrap/>
            <w:tcMar>
              <w:left w:w="43" w:type="dxa"/>
              <w:right w:w="43" w:type="dxa"/>
            </w:tcMar>
            <w:vAlign w:val="center"/>
          </w:tcPr>
          <w:p w:rsidR="00DF6C02" w:rsidRDefault="00DF6C02" w:rsidP="00DF6C02">
            <w:pPr>
              <w:jc w:val="right"/>
              <w:rPr>
                <w:sz w:val="14"/>
                <w:szCs w:val="14"/>
              </w:rPr>
            </w:pPr>
            <w:r>
              <w:rPr>
                <w:sz w:val="14"/>
                <w:szCs w:val="14"/>
              </w:rPr>
              <w:t>173</w:t>
            </w:r>
          </w:p>
        </w:tc>
      </w:tr>
      <w:tr w:rsidR="00DF6C02" w:rsidRPr="009B6E8A" w:rsidTr="00DF6C02">
        <w:trPr>
          <w:trHeight w:hRule="exact" w:val="236"/>
          <w:jc w:val="center"/>
        </w:trPr>
        <w:tc>
          <w:tcPr>
            <w:tcW w:w="236" w:type="dxa"/>
            <w:tcBorders>
              <w:top w:val="nil"/>
              <w:left w:val="nil"/>
            </w:tcBorders>
            <w:shd w:val="clear" w:color="auto" w:fill="auto"/>
            <w:noWrap/>
            <w:vAlign w:val="center"/>
            <w:hideMark/>
          </w:tcPr>
          <w:p w:rsidR="00DF6C02" w:rsidRDefault="00DF6C02" w:rsidP="00C81E06">
            <w:pPr>
              <w:jc w:val="left"/>
              <w:rPr>
                <w:sz w:val="14"/>
                <w:szCs w:val="14"/>
              </w:rPr>
            </w:pPr>
            <w:r>
              <w:rPr>
                <w:sz w:val="14"/>
                <w:szCs w:val="14"/>
              </w:rPr>
              <w:t>5</w:t>
            </w:r>
          </w:p>
        </w:tc>
        <w:tc>
          <w:tcPr>
            <w:tcW w:w="3105" w:type="dxa"/>
            <w:tcBorders>
              <w:top w:val="nil"/>
              <w:right w:val="nil"/>
            </w:tcBorders>
            <w:shd w:val="clear" w:color="auto" w:fill="auto"/>
            <w:vAlign w:val="center"/>
          </w:tcPr>
          <w:p w:rsidR="00DF6C02" w:rsidRDefault="00DF6C02" w:rsidP="00C81E06">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1,039</w:t>
            </w:r>
          </w:p>
        </w:tc>
        <w:tc>
          <w:tcPr>
            <w:tcW w:w="756"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871</w:t>
            </w:r>
          </w:p>
        </w:tc>
        <w:tc>
          <w:tcPr>
            <w:tcW w:w="810" w:type="dxa"/>
            <w:tcBorders>
              <w:top w:val="nil"/>
              <w:left w:val="nil"/>
              <w:right w:val="nil"/>
            </w:tcBorders>
            <w:shd w:val="clear" w:color="auto" w:fill="auto"/>
            <w:tcMar>
              <w:left w:w="43" w:type="dxa"/>
              <w:right w:w="43" w:type="dxa"/>
            </w:tcMar>
            <w:vAlign w:val="center"/>
          </w:tcPr>
          <w:p w:rsidR="00DF6C02" w:rsidRDefault="00DF6C02" w:rsidP="00DF6C02">
            <w:pPr>
              <w:jc w:val="right"/>
              <w:rPr>
                <w:sz w:val="14"/>
                <w:szCs w:val="14"/>
              </w:rPr>
            </w:pPr>
            <w:r>
              <w:rPr>
                <w:sz w:val="14"/>
                <w:szCs w:val="14"/>
              </w:rPr>
              <w:t>1,039</w:t>
            </w:r>
          </w:p>
        </w:tc>
        <w:tc>
          <w:tcPr>
            <w:tcW w:w="810"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472</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469</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454</w:t>
            </w:r>
          </w:p>
        </w:tc>
        <w:tc>
          <w:tcPr>
            <w:tcW w:w="761" w:type="dxa"/>
            <w:tcBorders>
              <w:top w:val="nil"/>
              <w:left w:val="nil"/>
              <w:right w:val="nil"/>
            </w:tcBorders>
            <w:shd w:val="clear" w:color="auto" w:fill="auto"/>
            <w:noWrap/>
            <w:tcMar>
              <w:left w:w="43" w:type="dxa"/>
              <w:right w:w="43" w:type="dxa"/>
            </w:tcMar>
            <w:vAlign w:val="center"/>
          </w:tcPr>
          <w:p w:rsidR="00DF6C02" w:rsidRDefault="00DF6C02" w:rsidP="00DF6C02">
            <w:pPr>
              <w:jc w:val="right"/>
              <w:rPr>
                <w:sz w:val="14"/>
                <w:szCs w:val="14"/>
              </w:rPr>
            </w:pPr>
            <w:r>
              <w:rPr>
                <w:sz w:val="14"/>
                <w:szCs w:val="14"/>
              </w:rPr>
              <w:t>1,029</w:t>
            </w:r>
          </w:p>
        </w:tc>
      </w:tr>
      <w:tr w:rsidR="00DF6C02" w:rsidRPr="009B6E8A" w:rsidTr="00DF6C02">
        <w:trPr>
          <w:trHeight w:hRule="exact" w:val="236"/>
          <w:jc w:val="center"/>
        </w:trPr>
        <w:tc>
          <w:tcPr>
            <w:tcW w:w="236" w:type="dxa"/>
            <w:tcBorders>
              <w:top w:val="nil"/>
              <w:left w:val="nil"/>
            </w:tcBorders>
            <w:shd w:val="clear" w:color="auto" w:fill="auto"/>
            <w:noWrap/>
            <w:vAlign w:val="center"/>
            <w:hideMark/>
          </w:tcPr>
          <w:p w:rsidR="00DF6C02" w:rsidRPr="00C12EB9" w:rsidRDefault="00DF6C02" w:rsidP="00C81E06">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DF6C02" w:rsidRDefault="00DF6C02" w:rsidP="00C81E06">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343,516</w:t>
            </w:r>
          </w:p>
        </w:tc>
        <w:tc>
          <w:tcPr>
            <w:tcW w:w="756"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389,234</w:t>
            </w:r>
          </w:p>
        </w:tc>
        <w:tc>
          <w:tcPr>
            <w:tcW w:w="810" w:type="dxa"/>
            <w:tcBorders>
              <w:top w:val="nil"/>
              <w:left w:val="nil"/>
              <w:right w:val="nil"/>
            </w:tcBorders>
            <w:shd w:val="clear" w:color="auto" w:fill="auto"/>
            <w:tcMar>
              <w:left w:w="43" w:type="dxa"/>
              <w:right w:w="43" w:type="dxa"/>
            </w:tcMar>
            <w:vAlign w:val="center"/>
          </w:tcPr>
          <w:p w:rsidR="00DF6C02" w:rsidRDefault="00DF6C02" w:rsidP="00DF6C02">
            <w:pPr>
              <w:jc w:val="right"/>
              <w:rPr>
                <w:sz w:val="14"/>
                <w:szCs w:val="14"/>
              </w:rPr>
            </w:pPr>
            <w:r>
              <w:rPr>
                <w:sz w:val="14"/>
                <w:szCs w:val="14"/>
              </w:rPr>
              <w:t>343,516</w:t>
            </w:r>
          </w:p>
        </w:tc>
        <w:tc>
          <w:tcPr>
            <w:tcW w:w="810" w:type="dxa"/>
            <w:tcBorders>
              <w:top w:val="nil"/>
              <w:left w:val="nil"/>
              <w:right w:val="nil"/>
            </w:tcBorders>
            <w:shd w:val="clear" w:color="auto" w:fill="auto"/>
            <w:noWrap/>
            <w:tcMar>
              <w:left w:w="43" w:type="dxa"/>
              <w:right w:w="43" w:type="dxa"/>
            </w:tcMar>
            <w:vAlign w:val="center"/>
            <w:hideMark/>
          </w:tcPr>
          <w:p w:rsidR="00DF6C02" w:rsidRDefault="00DF6C02" w:rsidP="00C81E06">
            <w:pPr>
              <w:jc w:val="right"/>
              <w:rPr>
                <w:sz w:val="14"/>
                <w:szCs w:val="14"/>
              </w:rPr>
            </w:pPr>
            <w:r>
              <w:rPr>
                <w:sz w:val="14"/>
                <w:szCs w:val="14"/>
              </w:rPr>
              <w:t>344,451</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312,243</w:t>
            </w:r>
          </w:p>
        </w:tc>
        <w:tc>
          <w:tcPr>
            <w:tcW w:w="810" w:type="dxa"/>
            <w:tcBorders>
              <w:top w:val="nil"/>
              <w:left w:val="nil"/>
              <w:right w:val="nil"/>
            </w:tcBorders>
            <w:shd w:val="clear" w:color="auto" w:fill="auto"/>
            <w:noWrap/>
            <w:tcMar>
              <w:left w:w="43" w:type="dxa"/>
              <w:right w:w="43" w:type="dxa"/>
            </w:tcMar>
            <w:vAlign w:val="center"/>
          </w:tcPr>
          <w:p w:rsidR="00DF6C02" w:rsidRDefault="00DF6C02" w:rsidP="00C81E06">
            <w:pPr>
              <w:jc w:val="right"/>
              <w:rPr>
                <w:sz w:val="14"/>
                <w:szCs w:val="14"/>
              </w:rPr>
            </w:pPr>
            <w:r>
              <w:rPr>
                <w:sz w:val="14"/>
                <w:szCs w:val="14"/>
              </w:rPr>
              <w:t>382,341</w:t>
            </w:r>
          </w:p>
        </w:tc>
        <w:tc>
          <w:tcPr>
            <w:tcW w:w="761" w:type="dxa"/>
            <w:tcBorders>
              <w:top w:val="nil"/>
              <w:left w:val="nil"/>
              <w:right w:val="nil"/>
            </w:tcBorders>
            <w:shd w:val="clear" w:color="auto" w:fill="auto"/>
            <w:noWrap/>
            <w:tcMar>
              <w:left w:w="43" w:type="dxa"/>
              <w:right w:w="43" w:type="dxa"/>
            </w:tcMar>
            <w:vAlign w:val="center"/>
          </w:tcPr>
          <w:p w:rsidR="00DF6C02" w:rsidRDefault="00DF6C02" w:rsidP="00DF6C02">
            <w:pPr>
              <w:jc w:val="right"/>
              <w:rPr>
                <w:sz w:val="14"/>
                <w:szCs w:val="14"/>
              </w:rPr>
            </w:pPr>
            <w:r>
              <w:rPr>
                <w:sz w:val="14"/>
                <w:szCs w:val="14"/>
              </w:rPr>
              <w:t>325,508</w:t>
            </w:r>
          </w:p>
        </w:tc>
      </w:tr>
      <w:tr w:rsidR="00DF6C02" w:rsidRPr="009B6E8A" w:rsidTr="00DF6C02">
        <w:trPr>
          <w:trHeight w:hRule="exact" w:val="236"/>
          <w:jc w:val="center"/>
        </w:trPr>
        <w:tc>
          <w:tcPr>
            <w:tcW w:w="236" w:type="dxa"/>
            <w:tcBorders>
              <w:top w:val="nil"/>
              <w:left w:val="nil"/>
              <w:bottom w:val="single" w:sz="12" w:space="0" w:color="auto"/>
            </w:tcBorders>
            <w:shd w:val="clear" w:color="auto" w:fill="auto"/>
            <w:noWrap/>
            <w:vAlign w:val="center"/>
            <w:hideMark/>
          </w:tcPr>
          <w:p w:rsidR="00DF6C02" w:rsidRDefault="00DF6C02" w:rsidP="00C81E06">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DF6C02" w:rsidRDefault="00DF6C02" w:rsidP="00C81E06">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DF6C02" w:rsidRDefault="00DF6C02" w:rsidP="00C81E06">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4,950,039</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DF6C02" w:rsidRDefault="00DF6C02" w:rsidP="00C81E06">
            <w:pPr>
              <w:jc w:val="right"/>
              <w:rPr>
                <w:b/>
                <w:bCs/>
                <w:sz w:val="14"/>
                <w:szCs w:val="14"/>
              </w:rPr>
            </w:pPr>
            <w:r>
              <w:rPr>
                <w:b/>
                <w:bCs/>
                <w:sz w:val="14"/>
                <w:szCs w:val="14"/>
              </w:rPr>
              <w:t>5,031,826</w:t>
            </w:r>
          </w:p>
        </w:tc>
        <w:tc>
          <w:tcPr>
            <w:tcW w:w="810" w:type="dxa"/>
            <w:tcBorders>
              <w:top w:val="nil"/>
              <w:left w:val="nil"/>
              <w:bottom w:val="single" w:sz="12" w:space="0" w:color="auto"/>
              <w:right w:val="nil"/>
            </w:tcBorders>
            <w:shd w:val="clear" w:color="auto" w:fill="auto"/>
            <w:tcMar>
              <w:left w:w="43" w:type="dxa"/>
              <w:right w:w="43" w:type="dxa"/>
            </w:tcMar>
            <w:vAlign w:val="center"/>
          </w:tcPr>
          <w:p w:rsidR="00DF6C02" w:rsidRDefault="00DF6C02" w:rsidP="00DF6C02">
            <w:pPr>
              <w:jc w:val="right"/>
              <w:rPr>
                <w:b/>
                <w:bCs/>
                <w:sz w:val="14"/>
                <w:szCs w:val="14"/>
              </w:rPr>
            </w:pPr>
            <w:r>
              <w:rPr>
                <w:b/>
                <w:bCs/>
                <w:sz w:val="14"/>
                <w:szCs w:val="14"/>
              </w:rPr>
              <w:t>4,950,039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F6C02" w:rsidRDefault="00DF6C02" w:rsidP="00C81E06">
            <w:pPr>
              <w:jc w:val="right"/>
              <w:rPr>
                <w:b/>
                <w:bCs/>
                <w:sz w:val="14"/>
                <w:szCs w:val="14"/>
              </w:rPr>
            </w:pPr>
            <w:r>
              <w:rPr>
                <w:b/>
                <w:bCs/>
                <w:sz w:val="14"/>
                <w:szCs w:val="14"/>
              </w:rPr>
              <w:t>5,672,624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5,930,357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F6C02" w:rsidRDefault="00DF6C02" w:rsidP="00C81E06">
            <w:pPr>
              <w:jc w:val="right"/>
              <w:rPr>
                <w:b/>
                <w:bCs/>
                <w:sz w:val="14"/>
                <w:szCs w:val="14"/>
              </w:rPr>
            </w:pPr>
            <w:r>
              <w:rPr>
                <w:b/>
                <w:bCs/>
                <w:sz w:val="14"/>
                <w:szCs w:val="14"/>
              </w:rPr>
              <w:t>6,371,862</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DF6C02" w:rsidRDefault="00DF6C02" w:rsidP="00DF6C02">
            <w:pPr>
              <w:jc w:val="right"/>
              <w:rPr>
                <w:b/>
                <w:bCs/>
                <w:sz w:val="14"/>
                <w:szCs w:val="14"/>
              </w:rPr>
            </w:pPr>
            <w:r>
              <w:rPr>
                <w:b/>
                <w:bCs/>
                <w:sz w:val="14"/>
                <w:szCs w:val="14"/>
              </w:rPr>
              <w:t>6,142,016</w:t>
            </w:r>
          </w:p>
        </w:tc>
      </w:tr>
      <w:tr w:rsidR="00C81E06" w:rsidRPr="009B6E8A" w:rsidTr="00916320">
        <w:trPr>
          <w:trHeight w:val="852"/>
          <w:jc w:val="center"/>
        </w:trPr>
        <w:tc>
          <w:tcPr>
            <w:tcW w:w="10497" w:type="dxa"/>
            <w:gridSpan w:val="11"/>
            <w:tcBorders>
              <w:top w:val="nil"/>
              <w:left w:val="nil"/>
              <w:right w:val="nil"/>
            </w:tcBorders>
            <w:shd w:val="clear" w:color="auto" w:fill="auto"/>
            <w:noWrap/>
            <w:hideMark/>
          </w:tcPr>
          <w:p w:rsidR="00C81E06" w:rsidRPr="00916320" w:rsidRDefault="00C81E06" w:rsidP="00C81E06">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C81E06" w:rsidRPr="00916320" w:rsidRDefault="00C81E06" w:rsidP="00C81E06">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C81E06" w:rsidRPr="00916320" w:rsidRDefault="00C81E06" w:rsidP="00C81E06">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C81E06" w:rsidRPr="006F5B38" w:rsidRDefault="00C81E06" w:rsidP="00C81E06">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C81E06"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C81E06" w:rsidRPr="00247299" w:rsidRDefault="00C81E06" w:rsidP="00C81E06">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C81E06" w:rsidRPr="00AC5C7D" w:rsidRDefault="00C81E06" w:rsidP="00C81E06">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C81E06" w:rsidRPr="00247299" w:rsidRDefault="00C81E06" w:rsidP="00C81E06">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C81E06" w:rsidRPr="00247299" w:rsidRDefault="00C81E06" w:rsidP="00C81E06">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C81E06" w:rsidRPr="00247299"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81E06" w:rsidRPr="00247299" w:rsidRDefault="00C81E06" w:rsidP="00C81E0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81E06" w:rsidRPr="00247299" w:rsidRDefault="00C81E06" w:rsidP="00C81E0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81E06" w:rsidRPr="00247299" w:rsidRDefault="00C81E06" w:rsidP="00C81E0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81E06" w:rsidRPr="00247299" w:rsidRDefault="00C81E06" w:rsidP="00C81E0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81E06" w:rsidRPr="00247299" w:rsidRDefault="00C81E06" w:rsidP="00C81E06">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C81E06" w:rsidRPr="00247299" w:rsidRDefault="00C81E06" w:rsidP="00C81E06">
            <w:pPr>
              <w:jc w:val="right"/>
              <w:rPr>
                <w:rFonts w:ascii="Calibri" w:hAnsi="Calibri"/>
                <w:sz w:val="22"/>
                <w:szCs w:val="22"/>
              </w:rPr>
            </w:pP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5,031,826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4,950,039</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5,672,624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5,930,357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6,371,862</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6,142,016</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33,777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33,636</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33,695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34,980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38,095</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41,012</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12,036,907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12,814,820</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13,612,141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13,293,851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13,661,870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14,722,214</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994,172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i/>
                <w:iCs/>
                <w:sz w:val="14"/>
                <w:szCs w:val="14"/>
              </w:rPr>
            </w:pPr>
            <w:r>
              <w:rPr>
                <w:i/>
                <w:iCs/>
                <w:sz w:val="14"/>
                <w:szCs w:val="14"/>
              </w:rPr>
              <w:t>1,109,780</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1,065,250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1,023,352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1,037,908</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i/>
                <w:iCs/>
                <w:sz w:val="14"/>
                <w:szCs w:val="14"/>
              </w:rPr>
            </w:pPr>
            <w:r>
              <w:rPr>
                <w:i/>
                <w:iCs/>
                <w:sz w:val="14"/>
                <w:szCs w:val="14"/>
              </w:rPr>
              <w:t>1,074,511</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17,102,511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19,318,460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19,259,188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20,071,827</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20,905,243</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DF6C02" w:rsidRPr="00D01D84" w:rsidRDefault="00DF6C02" w:rsidP="00C81E06">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DF6C02" w:rsidRPr="00D01D84" w:rsidRDefault="00DF6C02" w:rsidP="00C81E06">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20"/>
              </w:rPr>
            </w:pP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(1,260,303)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(1,507,081)</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(710,001)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(606,861)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(853,043)</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(514,920)</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(895,922)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(1,127,203)</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(353,875)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(224,471)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(483,204)</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(180,114)</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(364,381)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(379,879)</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(356,126)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(382,389)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(369,839)</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(334,806)</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18,362,814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19,305,575</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20,028,461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19,866,049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20,924,870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21,420,163</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6,542,420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7,017,743</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6,536,297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6,515,040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7,242,640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6,976,974</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11,820,394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12,287,832</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13,492,164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13,351,009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13,682,230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14,443,189</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11,639,710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12,336,664</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13,171,974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13,225,470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14,155,911</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14,562,872</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10,895,071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11,596,468</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12,562,925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12,597,476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13,351,104</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13,763,948</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6,194,713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6,691,870</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6,211,471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5,955,402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6,390,482</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6,556,991</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6,453,541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6,833,275</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6,680,302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6,460,468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6,764,664</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6,768,318</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(821,625)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(967,305)</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(1,119,397)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(1,393,946)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(1,189,040)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(546,371)</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(226,707)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(127,135)</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(430,303)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(469,805)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(333,568)</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(192,737)</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(36,336)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(19,072)</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(75,766)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(73,121)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(77,110)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(39,105)</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(37,336)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(16,983)</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(81,103)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(70,034)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(44,380)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(8,321)</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(121,768)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(70,339)</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(189,335)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(226,444)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(152,502)</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(81,570)</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(31,266)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(20,741)</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(84,098)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(100,207)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(59,576)</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(63,741)</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(10,450)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(97)</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(18,366)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(16,331)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(19,451)</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(5,047)</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(21,671)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(14,174)</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(20,162)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(18,930)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(21,163)</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(13,543)</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4,700,359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4,904,598</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6,351,454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6,642,074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6,960,622</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7,206,957</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5,541,327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5,753,677</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7,259,336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7,550,618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7,859,440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8,228,342</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(1,103,874)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(1,228,344)</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(1,257,478)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(1,279,719)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(1,467,984)</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(1,366,088)</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(840,969)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(849,079)</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(907,882)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(908,544)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(898,818)</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(1,021,385)</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(841,993)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(850,103)</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(908,906)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(909,568)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(899,842)</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(1,022,409)</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759,511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756,416</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619,257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639,926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820,760</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813,435</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(14,873)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(16,220)</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(10,208)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(11,932)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(15,953)</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(14,510)</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7,990,665</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8,072,803</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8,400,646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8,366,843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8,489,141</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8,368,029</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6,601,372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6,666,505</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6,989,708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6,969,798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6,955,373</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6,862,862</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5,214,851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5,276,240</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5,420,653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5,399,528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5,358,512</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5,305,518</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825,774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835,105</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901,942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891,049</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885,279</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868,473</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560,747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555,160</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667,113</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679,221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711,583</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688,871</w:t>
            </w:r>
          </w:p>
        </w:tc>
      </w:tr>
      <w:tr w:rsidR="00DF6C02"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F6C02" w:rsidRPr="00AC5C7D" w:rsidRDefault="00DF6C02" w:rsidP="00C81E06">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1,394,981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1,394,221</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1,397,687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1,383,671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1,519,545</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1,490,522</w:t>
            </w:r>
          </w:p>
        </w:tc>
      </w:tr>
      <w:tr w:rsidR="00DF6C02"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(24,244)</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18,556</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36,321</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37,494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37,618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38,466</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38,889</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(1,267,561)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(1,103,892)</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(1,544,160)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(1,726,264)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(1,720,181)</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(1,510,739)</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17,102,511</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b/>
                <w:bCs/>
                <w:sz w:val="14"/>
                <w:szCs w:val="14"/>
              </w:rPr>
            </w:pPr>
            <w:r>
              <w:rPr>
                <w:b/>
                <w:bCs/>
                <w:sz w:val="14"/>
                <w:szCs w:val="14"/>
              </w:rPr>
              <w:t>17,798,494</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b/>
                <w:bCs/>
                <w:sz w:val="14"/>
                <w:szCs w:val="14"/>
              </w:rPr>
            </w:pPr>
            <w:r>
              <w:rPr>
                <w:b/>
                <w:bCs/>
                <w:sz w:val="14"/>
                <w:szCs w:val="14"/>
              </w:rPr>
              <w:t>19,318,460</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19,259,188</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b/>
                <w:bCs/>
                <w:sz w:val="14"/>
                <w:szCs w:val="14"/>
              </w:rPr>
            </w:pPr>
            <w:r>
              <w:rPr>
                <w:b/>
                <w:bCs/>
                <w:sz w:val="14"/>
                <w:szCs w:val="14"/>
              </w:rPr>
              <w:t>20,071,827</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b/>
                <w:bCs/>
                <w:sz w:val="14"/>
                <w:szCs w:val="14"/>
              </w:rPr>
            </w:pPr>
            <w:r>
              <w:rPr>
                <w:b/>
                <w:bCs/>
                <w:sz w:val="14"/>
                <w:szCs w:val="14"/>
              </w:rPr>
              <w:t>20,905,242</w:t>
            </w: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Pr="00B000A9" w:rsidRDefault="00DF6C02" w:rsidP="00C81E06">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DF6C02" w:rsidRPr="00B000A9" w:rsidRDefault="00DF6C02" w:rsidP="00C81E06">
            <w:pPr>
              <w:jc w:val="right"/>
              <w:rPr>
                <w:sz w:val="14"/>
                <w:szCs w:val="14"/>
              </w:rPr>
            </w:pPr>
          </w:p>
        </w:tc>
        <w:tc>
          <w:tcPr>
            <w:tcW w:w="786" w:type="dxa"/>
            <w:tcBorders>
              <w:top w:val="nil"/>
              <w:left w:val="nil"/>
              <w:bottom w:val="nil"/>
              <w:right w:val="nil"/>
            </w:tcBorders>
            <w:shd w:val="clear" w:color="auto" w:fill="auto"/>
            <w:tcMar>
              <w:left w:w="29" w:type="dxa"/>
              <w:right w:w="29" w:type="dxa"/>
            </w:tcMar>
            <w:vAlign w:val="center"/>
          </w:tcPr>
          <w:p w:rsidR="00DF6C02" w:rsidRPr="00B000A9" w:rsidRDefault="00DF6C02" w:rsidP="00C81E06">
            <w:pPr>
              <w:jc w:val="right"/>
              <w:rPr>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20"/>
              </w:rPr>
            </w:pPr>
          </w:p>
        </w:tc>
      </w:tr>
      <w:tr w:rsidR="00DF6C02"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F6C02" w:rsidRPr="00AC5C7D" w:rsidRDefault="00DF6C02" w:rsidP="00C81E06">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237,654</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2,912</w:t>
            </w:r>
          </w:p>
        </w:tc>
        <w:tc>
          <w:tcPr>
            <w:tcW w:w="720" w:type="dxa"/>
            <w:tcBorders>
              <w:top w:val="nil"/>
              <w:left w:val="nil"/>
              <w:bottom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285,997</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340,632</w:t>
            </w:r>
          </w:p>
        </w:tc>
        <w:tc>
          <w:tcPr>
            <w:tcW w:w="720" w:type="dxa"/>
            <w:tcBorders>
              <w:top w:val="nil"/>
              <w:left w:val="nil"/>
              <w:bottom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440,488</w:t>
            </w:r>
          </w:p>
        </w:tc>
        <w:tc>
          <w:tcPr>
            <w:tcW w:w="744" w:type="dxa"/>
            <w:tcBorders>
              <w:top w:val="nil"/>
              <w:left w:val="nil"/>
              <w:bottom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83,855</w:t>
            </w:r>
          </w:p>
        </w:tc>
      </w:tr>
      <w:tr w:rsidR="00DF6C02"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F6C02" w:rsidRPr="00AC5C7D" w:rsidRDefault="00DF6C02" w:rsidP="00C81E06">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4,106,154</w:t>
            </w:r>
          </w:p>
        </w:tc>
        <w:tc>
          <w:tcPr>
            <w:tcW w:w="720" w:type="dxa"/>
            <w:tcBorders>
              <w:top w:val="nil"/>
              <w:left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4,363,090</w:t>
            </w:r>
          </w:p>
        </w:tc>
        <w:tc>
          <w:tcPr>
            <w:tcW w:w="720" w:type="dxa"/>
            <w:tcBorders>
              <w:top w:val="nil"/>
              <w:left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4,803,332</w:t>
            </w:r>
          </w:p>
        </w:tc>
        <w:tc>
          <w:tcPr>
            <w:tcW w:w="720"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4,771,148</w:t>
            </w:r>
          </w:p>
        </w:tc>
        <w:tc>
          <w:tcPr>
            <w:tcW w:w="720"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4,950,955</w:t>
            </w:r>
          </w:p>
        </w:tc>
        <w:tc>
          <w:tcPr>
            <w:tcW w:w="744" w:type="dxa"/>
            <w:tcBorders>
              <w:top w:val="nil"/>
              <w:left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4,956,617</w:t>
            </w:r>
          </w:p>
        </w:tc>
      </w:tr>
      <w:tr w:rsidR="00DF6C02"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F6C02" w:rsidRPr="00B53708" w:rsidRDefault="00DF6C02" w:rsidP="00C81E06">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DF6C02" w:rsidRDefault="00DF6C02" w:rsidP="00C81E06">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10,642,967</w:t>
            </w:r>
          </w:p>
        </w:tc>
        <w:tc>
          <w:tcPr>
            <w:tcW w:w="720" w:type="dxa"/>
            <w:tcBorders>
              <w:top w:val="nil"/>
              <w:left w:val="nil"/>
              <w:right w:val="nil"/>
            </w:tcBorders>
            <w:shd w:val="clear" w:color="auto" w:fill="auto"/>
            <w:tcMar>
              <w:left w:w="29" w:type="dxa"/>
              <w:right w:w="29" w:type="dxa"/>
            </w:tcMar>
            <w:vAlign w:val="center"/>
          </w:tcPr>
          <w:p w:rsidR="00DF6C02" w:rsidRDefault="00DF6C02" w:rsidP="00DF6C02">
            <w:pPr>
              <w:jc w:val="right"/>
              <w:rPr>
                <w:sz w:val="14"/>
                <w:szCs w:val="14"/>
              </w:rPr>
            </w:pPr>
            <w:r>
              <w:rPr>
                <w:sz w:val="14"/>
                <w:szCs w:val="14"/>
              </w:rPr>
              <w:t>11,545,893</w:t>
            </w:r>
          </w:p>
        </w:tc>
        <w:tc>
          <w:tcPr>
            <w:tcW w:w="720" w:type="dxa"/>
            <w:tcBorders>
              <w:top w:val="nil"/>
              <w:left w:val="nil"/>
              <w:right w:val="nil"/>
            </w:tcBorders>
            <w:shd w:val="clear" w:color="auto" w:fill="auto"/>
            <w:tcMar>
              <w:left w:w="29" w:type="dxa"/>
              <w:right w:w="29" w:type="dxa"/>
            </w:tcMar>
            <w:vAlign w:val="center"/>
            <w:hideMark/>
          </w:tcPr>
          <w:p w:rsidR="00DF6C02" w:rsidRDefault="00DF6C02" w:rsidP="00C81E06">
            <w:pPr>
              <w:jc w:val="right"/>
              <w:rPr>
                <w:sz w:val="14"/>
                <w:szCs w:val="14"/>
              </w:rPr>
            </w:pPr>
            <w:r>
              <w:rPr>
                <w:sz w:val="14"/>
                <w:szCs w:val="14"/>
              </w:rPr>
              <w:t>12,147,705</w:t>
            </w:r>
          </w:p>
        </w:tc>
        <w:tc>
          <w:tcPr>
            <w:tcW w:w="720"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12,063,064</w:t>
            </w:r>
          </w:p>
        </w:tc>
        <w:tc>
          <w:tcPr>
            <w:tcW w:w="720" w:type="dxa"/>
            <w:tcBorders>
              <w:top w:val="nil"/>
              <w:left w:val="nil"/>
              <w:right w:val="nil"/>
            </w:tcBorders>
            <w:shd w:val="clear" w:color="auto" w:fill="auto"/>
            <w:tcMar>
              <w:left w:w="29" w:type="dxa"/>
              <w:right w:w="29" w:type="dxa"/>
            </w:tcMar>
            <w:vAlign w:val="center"/>
          </w:tcPr>
          <w:p w:rsidR="00DF6C02" w:rsidRDefault="00DF6C02" w:rsidP="00C81E06">
            <w:pPr>
              <w:jc w:val="right"/>
              <w:rPr>
                <w:sz w:val="14"/>
                <w:szCs w:val="14"/>
              </w:rPr>
            </w:pPr>
            <w:r>
              <w:rPr>
                <w:sz w:val="14"/>
                <w:szCs w:val="14"/>
              </w:rPr>
              <w:t>12,741,155</w:t>
            </w:r>
          </w:p>
        </w:tc>
        <w:tc>
          <w:tcPr>
            <w:tcW w:w="744" w:type="dxa"/>
            <w:tcBorders>
              <w:top w:val="nil"/>
              <w:left w:val="nil"/>
              <w:right w:val="nil"/>
            </w:tcBorders>
            <w:shd w:val="clear" w:color="auto" w:fill="auto"/>
            <w:noWrap/>
            <w:tcMar>
              <w:left w:w="29" w:type="dxa"/>
              <w:right w:w="29" w:type="dxa"/>
            </w:tcMar>
            <w:vAlign w:val="center"/>
          </w:tcPr>
          <w:p w:rsidR="00DF6C02" w:rsidRDefault="00DF6C02" w:rsidP="00DF6C02">
            <w:pPr>
              <w:jc w:val="right"/>
              <w:rPr>
                <w:sz w:val="14"/>
                <w:szCs w:val="14"/>
              </w:rPr>
            </w:pPr>
            <w:r>
              <w:rPr>
                <w:sz w:val="14"/>
                <w:szCs w:val="14"/>
              </w:rPr>
              <w:t>13,486,453</w:t>
            </w:r>
          </w:p>
        </w:tc>
      </w:tr>
      <w:tr w:rsidR="00DF6C02"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F6C02" w:rsidRPr="0018778B" w:rsidRDefault="00DF6C02" w:rsidP="00C81E06">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DF6C02" w:rsidRDefault="00DF6C02" w:rsidP="00C81E06">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5,957,058</w:t>
            </w:r>
          </w:p>
        </w:tc>
        <w:tc>
          <w:tcPr>
            <w:tcW w:w="720" w:type="dxa"/>
            <w:tcBorders>
              <w:top w:val="nil"/>
              <w:left w:val="nil"/>
              <w:right w:val="nil"/>
            </w:tcBorders>
            <w:shd w:val="clear" w:color="auto" w:fill="auto"/>
            <w:tcMar>
              <w:left w:w="29" w:type="dxa"/>
              <w:right w:w="29" w:type="dxa"/>
            </w:tcMar>
            <w:vAlign w:val="center"/>
          </w:tcPr>
          <w:p w:rsidR="00DF6C02" w:rsidRDefault="00DF6C02" w:rsidP="00DF6C02">
            <w:pPr>
              <w:jc w:val="right"/>
              <w:rPr>
                <w:i/>
                <w:iCs/>
                <w:sz w:val="14"/>
                <w:szCs w:val="14"/>
              </w:rPr>
            </w:pPr>
            <w:r>
              <w:rPr>
                <w:i/>
                <w:iCs/>
                <w:sz w:val="14"/>
                <w:szCs w:val="14"/>
              </w:rPr>
              <w:t>6,688,958</w:t>
            </w:r>
          </w:p>
        </w:tc>
        <w:tc>
          <w:tcPr>
            <w:tcW w:w="720" w:type="dxa"/>
            <w:tcBorders>
              <w:top w:val="nil"/>
              <w:left w:val="nil"/>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5,925,475</w:t>
            </w:r>
          </w:p>
        </w:tc>
        <w:tc>
          <w:tcPr>
            <w:tcW w:w="720" w:type="dxa"/>
            <w:tcBorders>
              <w:top w:val="nil"/>
              <w:left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5,614,770</w:t>
            </w:r>
          </w:p>
        </w:tc>
        <w:tc>
          <w:tcPr>
            <w:tcW w:w="720" w:type="dxa"/>
            <w:tcBorders>
              <w:top w:val="nil"/>
              <w:left w:val="nil"/>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5,949,994</w:t>
            </w:r>
          </w:p>
        </w:tc>
        <w:tc>
          <w:tcPr>
            <w:tcW w:w="744" w:type="dxa"/>
            <w:tcBorders>
              <w:top w:val="nil"/>
              <w:left w:val="nil"/>
              <w:right w:val="nil"/>
            </w:tcBorders>
            <w:shd w:val="clear" w:color="auto" w:fill="auto"/>
            <w:noWrap/>
            <w:tcMar>
              <w:left w:w="29" w:type="dxa"/>
              <w:right w:w="29" w:type="dxa"/>
            </w:tcMar>
            <w:vAlign w:val="center"/>
          </w:tcPr>
          <w:p w:rsidR="00DF6C02" w:rsidRDefault="00DF6C02" w:rsidP="00DF6C02">
            <w:pPr>
              <w:jc w:val="right"/>
              <w:rPr>
                <w:i/>
                <w:iCs/>
                <w:sz w:val="14"/>
                <w:szCs w:val="14"/>
              </w:rPr>
            </w:pPr>
            <w:r>
              <w:rPr>
                <w:i/>
                <w:iCs/>
                <w:sz w:val="14"/>
                <w:szCs w:val="14"/>
              </w:rPr>
              <w:t>6,473,136</w:t>
            </w:r>
          </w:p>
        </w:tc>
      </w:tr>
      <w:tr w:rsidR="00DF6C02"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DF6C02" w:rsidRPr="0018778B" w:rsidRDefault="00DF6C02" w:rsidP="00C81E06">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DF6C02" w:rsidRDefault="00DF6C02" w:rsidP="00C81E06">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4,685,909</w:t>
            </w:r>
          </w:p>
        </w:tc>
        <w:tc>
          <w:tcPr>
            <w:tcW w:w="720" w:type="dxa"/>
            <w:tcBorders>
              <w:left w:val="nil"/>
              <w:bottom w:val="single" w:sz="12" w:space="0" w:color="auto"/>
              <w:right w:val="nil"/>
            </w:tcBorders>
            <w:shd w:val="clear" w:color="auto" w:fill="auto"/>
            <w:tcMar>
              <w:left w:w="29" w:type="dxa"/>
              <w:right w:w="29" w:type="dxa"/>
            </w:tcMar>
            <w:vAlign w:val="center"/>
          </w:tcPr>
          <w:p w:rsidR="00DF6C02" w:rsidRDefault="00DF6C02" w:rsidP="00DF6C02">
            <w:pPr>
              <w:jc w:val="right"/>
              <w:rPr>
                <w:i/>
                <w:iCs/>
                <w:sz w:val="14"/>
                <w:szCs w:val="14"/>
              </w:rPr>
            </w:pPr>
            <w:r>
              <w:rPr>
                <w:i/>
                <w:iCs/>
                <w:sz w:val="14"/>
                <w:szCs w:val="14"/>
              </w:rPr>
              <w:t>4,856,935</w:t>
            </w:r>
          </w:p>
        </w:tc>
        <w:tc>
          <w:tcPr>
            <w:tcW w:w="720" w:type="dxa"/>
            <w:tcBorders>
              <w:left w:val="nil"/>
              <w:bottom w:val="single" w:sz="12" w:space="0" w:color="auto"/>
              <w:right w:val="nil"/>
            </w:tcBorders>
            <w:shd w:val="clear" w:color="auto" w:fill="auto"/>
            <w:tcMar>
              <w:left w:w="29" w:type="dxa"/>
              <w:right w:w="29" w:type="dxa"/>
            </w:tcMar>
            <w:vAlign w:val="center"/>
            <w:hideMark/>
          </w:tcPr>
          <w:p w:rsidR="00DF6C02" w:rsidRDefault="00DF6C02" w:rsidP="00C81E06">
            <w:pPr>
              <w:jc w:val="right"/>
              <w:rPr>
                <w:i/>
                <w:iCs/>
                <w:sz w:val="14"/>
                <w:szCs w:val="14"/>
              </w:rPr>
            </w:pPr>
            <w:r>
              <w:rPr>
                <w:i/>
                <w:iCs/>
                <w:sz w:val="14"/>
                <w:szCs w:val="14"/>
              </w:rPr>
              <w:t>6,222,230</w:t>
            </w:r>
          </w:p>
        </w:tc>
        <w:tc>
          <w:tcPr>
            <w:tcW w:w="720" w:type="dxa"/>
            <w:tcBorders>
              <w:left w:val="nil"/>
              <w:bottom w:val="single" w:sz="12" w:space="0" w:color="auto"/>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6,448,294</w:t>
            </w:r>
          </w:p>
        </w:tc>
        <w:tc>
          <w:tcPr>
            <w:tcW w:w="720" w:type="dxa"/>
            <w:tcBorders>
              <w:left w:val="nil"/>
              <w:bottom w:val="single" w:sz="12" w:space="0" w:color="auto"/>
              <w:right w:val="nil"/>
            </w:tcBorders>
            <w:shd w:val="clear" w:color="auto" w:fill="auto"/>
            <w:tcMar>
              <w:left w:w="29" w:type="dxa"/>
              <w:right w:w="29" w:type="dxa"/>
            </w:tcMar>
            <w:vAlign w:val="center"/>
          </w:tcPr>
          <w:p w:rsidR="00DF6C02" w:rsidRDefault="00DF6C02" w:rsidP="00C81E06">
            <w:pPr>
              <w:jc w:val="right"/>
              <w:rPr>
                <w:i/>
                <w:iCs/>
                <w:sz w:val="14"/>
                <w:szCs w:val="14"/>
              </w:rPr>
            </w:pPr>
            <w:r>
              <w:rPr>
                <w:i/>
                <w:iCs/>
                <w:sz w:val="14"/>
                <w:szCs w:val="14"/>
              </w:rPr>
              <w:t>6,791,161</w:t>
            </w:r>
          </w:p>
        </w:tc>
        <w:tc>
          <w:tcPr>
            <w:tcW w:w="744" w:type="dxa"/>
            <w:tcBorders>
              <w:left w:val="nil"/>
              <w:bottom w:val="single" w:sz="12" w:space="0" w:color="auto"/>
              <w:right w:val="nil"/>
            </w:tcBorders>
            <w:shd w:val="clear" w:color="auto" w:fill="auto"/>
            <w:noWrap/>
            <w:tcMar>
              <w:left w:w="29" w:type="dxa"/>
              <w:right w:w="29" w:type="dxa"/>
            </w:tcMar>
            <w:vAlign w:val="center"/>
          </w:tcPr>
          <w:p w:rsidR="00DF6C02" w:rsidRDefault="00DF6C02" w:rsidP="00DF6C02">
            <w:pPr>
              <w:jc w:val="right"/>
              <w:rPr>
                <w:i/>
                <w:iCs/>
                <w:sz w:val="14"/>
                <w:szCs w:val="14"/>
              </w:rPr>
            </w:pPr>
            <w:r>
              <w:rPr>
                <w:i/>
                <w:iCs/>
                <w:sz w:val="14"/>
                <w:szCs w:val="14"/>
              </w:rPr>
              <w:t>7,013,317</w:t>
            </w:r>
          </w:p>
        </w:tc>
      </w:tr>
      <w:tr w:rsidR="00C81E06"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C81E06" w:rsidRPr="00247299" w:rsidRDefault="00C81E06" w:rsidP="00C81E06">
            <w:pPr>
              <w:jc w:val="right"/>
              <w:rPr>
                <w:color w:val="auto"/>
                <w:sz w:val="14"/>
                <w:szCs w:val="14"/>
              </w:rPr>
            </w:pPr>
            <w:r>
              <w:rPr>
                <w:sz w:val="14"/>
                <w:szCs w:val="14"/>
              </w:rPr>
              <w:t>Source: Statistics &amp; Data Warehouse Department SBP</w:t>
            </w:r>
            <w:r w:rsidRPr="00247299">
              <w:rPr>
                <w:color w:val="auto"/>
                <w:sz w:val="14"/>
                <w:szCs w:val="14"/>
              </w:rPr>
              <w:t> </w:t>
            </w:r>
          </w:p>
          <w:p w:rsidR="00C81E06" w:rsidRPr="00247299" w:rsidRDefault="00C81E06" w:rsidP="00C81E06">
            <w:pPr>
              <w:jc w:val="right"/>
              <w:rPr>
                <w:rFonts w:ascii="Calibri" w:hAnsi="Calibri"/>
                <w:sz w:val="22"/>
                <w:szCs w:val="22"/>
              </w:rPr>
            </w:pPr>
            <w:r w:rsidRPr="00247299">
              <w:rPr>
                <w:i/>
                <w:iCs/>
                <w:color w:val="auto"/>
                <w:sz w:val="14"/>
                <w:szCs w:val="14"/>
              </w:rPr>
              <w:t> </w:t>
            </w:r>
          </w:p>
        </w:tc>
      </w:tr>
      <w:tr w:rsidR="00C81E06" w:rsidRPr="00916320" w:rsidTr="00916320">
        <w:trPr>
          <w:trHeight w:val="1080"/>
          <w:jc w:val="center"/>
        </w:trPr>
        <w:tc>
          <w:tcPr>
            <w:tcW w:w="10103" w:type="dxa"/>
            <w:gridSpan w:val="10"/>
            <w:tcBorders>
              <w:top w:val="nil"/>
              <w:left w:val="nil"/>
              <w:bottom w:val="nil"/>
              <w:right w:val="nil"/>
            </w:tcBorders>
            <w:shd w:val="clear" w:color="auto" w:fill="auto"/>
            <w:hideMark/>
          </w:tcPr>
          <w:p w:rsidR="00C81E06" w:rsidRPr="00916320" w:rsidRDefault="00C81E06" w:rsidP="00C81E06">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C81E06" w:rsidRPr="00916320" w:rsidRDefault="00C81E06" w:rsidP="00C81E06">
            <w:pPr>
              <w:ind w:left="162" w:hanging="180"/>
              <w:jc w:val="left"/>
              <w:rPr>
                <w:color w:val="auto"/>
                <w:sz w:val="14"/>
                <w:szCs w:val="14"/>
              </w:rPr>
            </w:pPr>
            <w:r w:rsidRPr="00916320">
              <w:rPr>
                <w:color w:val="auto"/>
                <w:sz w:val="14"/>
                <w:szCs w:val="14"/>
              </w:rPr>
              <w:t>Note:-</w:t>
            </w:r>
          </w:p>
          <w:p w:rsidR="00C81E06" w:rsidRPr="00916320" w:rsidRDefault="00C81E06" w:rsidP="00C81E06">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C81E06" w:rsidRDefault="00C81E06" w:rsidP="00C81E06">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8" w:history="1">
              <w:r w:rsidRPr="00846D97">
                <w:rPr>
                  <w:rStyle w:val="Hyperlink"/>
                  <w:sz w:val="14"/>
                  <w:szCs w:val="14"/>
                </w:rPr>
                <w:t>http://www.sbp.org.pk/departments/stats/Expalanatory-Note.pdf</w:t>
              </w:r>
            </w:hyperlink>
          </w:p>
          <w:p w:rsidR="00C81E06" w:rsidRPr="00916320" w:rsidRDefault="00C81E06" w:rsidP="00C81E06">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has been reclassified as credit to private </w:t>
            </w:r>
            <w:proofErr w:type="spellStart"/>
            <w:r w:rsidRPr="00916320">
              <w:rPr>
                <w:color w:val="auto"/>
                <w:sz w:val="14"/>
                <w:szCs w:val="14"/>
              </w:rPr>
              <w:t>sector.Details</w:t>
            </w:r>
            <w:proofErr w:type="spellEnd"/>
            <w:r w:rsidRPr="00916320">
              <w:rPr>
                <w:color w:val="auto"/>
                <w:sz w:val="14"/>
                <w:szCs w:val="14"/>
              </w:rPr>
              <w:t xml:space="preserve">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BA4533" w:rsidP="0000065A">
            <w:pPr>
              <w:rPr>
                <w:b/>
                <w:bCs/>
                <w:color w:val="auto"/>
                <w:szCs w:val="16"/>
              </w:rPr>
            </w:pPr>
            <w:r>
              <w:rPr>
                <w:b/>
                <w:bCs/>
                <w:color w:val="auto"/>
                <w:szCs w:val="16"/>
              </w:rPr>
              <w:t>3</w:t>
            </w:r>
            <w:r w:rsidR="0000065A">
              <w:rPr>
                <w:b/>
                <w:bCs/>
                <w:color w:val="auto"/>
                <w:szCs w:val="16"/>
              </w:rPr>
              <w:t>0</w:t>
            </w:r>
            <w:r>
              <w:rPr>
                <w:b/>
                <w:bCs/>
                <w:color w:val="auto"/>
                <w:szCs w:val="16"/>
                <w:vertAlign w:val="superscript"/>
              </w:rPr>
              <w:t>t</w:t>
            </w:r>
            <w:r w:rsidR="0000065A">
              <w:rPr>
                <w:b/>
                <w:bCs/>
                <w:color w:val="auto"/>
                <w:szCs w:val="16"/>
                <w:vertAlign w:val="superscript"/>
              </w:rPr>
              <w:t>h</w:t>
            </w:r>
            <w:r w:rsidR="00E07EFE" w:rsidRPr="006619BF">
              <w:rPr>
                <w:b/>
                <w:bCs/>
                <w:color w:val="auto"/>
                <w:szCs w:val="16"/>
              </w:rPr>
              <w:t xml:space="preserve"> </w:t>
            </w:r>
            <w:r w:rsidR="0000065A">
              <w:rPr>
                <w:b/>
                <w:bCs/>
                <w:color w:val="auto"/>
                <w:szCs w:val="16"/>
              </w:rPr>
              <w:t>Jun</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00065A" w:rsidP="00BA4533">
            <w:pPr>
              <w:rPr>
                <w:b/>
                <w:bCs/>
                <w:color w:val="auto"/>
                <w:szCs w:val="16"/>
              </w:rPr>
            </w:pPr>
            <w:r>
              <w:rPr>
                <w:b/>
                <w:bCs/>
                <w:color w:val="auto"/>
                <w:szCs w:val="16"/>
              </w:rPr>
              <w:t>30</w:t>
            </w:r>
            <w:r>
              <w:rPr>
                <w:b/>
                <w:bCs/>
                <w:color w:val="auto"/>
                <w:szCs w:val="16"/>
                <w:vertAlign w:val="superscript"/>
              </w:rPr>
              <w:t>th</w:t>
            </w:r>
            <w:r w:rsidRPr="006619BF">
              <w:rPr>
                <w:b/>
                <w:bCs/>
                <w:color w:val="auto"/>
                <w:szCs w:val="16"/>
              </w:rPr>
              <w:t xml:space="preserve"> </w:t>
            </w:r>
            <w:r>
              <w:rPr>
                <w:b/>
                <w:bCs/>
                <w:color w:val="auto"/>
                <w:szCs w:val="16"/>
              </w:rPr>
              <w:t>Jun</w:t>
            </w:r>
            <w:r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14,996,660</w:t>
            </w:r>
          </w:p>
        </w:tc>
        <w:tc>
          <w:tcPr>
            <w:tcW w:w="626"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2,395,915</w:t>
            </w:r>
          </w:p>
        </w:tc>
        <w:tc>
          <w:tcPr>
            <w:tcW w:w="641"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2,409,708</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8,228,342</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(769,742)</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2,474,665</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(625,152)</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2,612,409</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569"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626"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641" w:type="pct"/>
            <w:tcBorders>
              <w:top w:val="nil"/>
              <w:left w:val="nil"/>
              <w:bottom w:val="nil"/>
              <w:right w:val="nil"/>
            </w:tcBorders>
            <w:shd w:val="clear" w:color="auto" w:fill="auto"/>
            <w:vAlign w:val="center"/>
            <w:hideMark/>
          </w:tcPr>
          <w:p w:rsidR="0000065A" w:rsidRDefault="0000065A" w:rsidP="0000065A">
            <w:pPr>
              <w:jc w:val="right"/>
              <w:rPr>
                <w:sz w:val="20"/>
              </w:rPr>
            </w:pP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0A675C" w:rsidRDefault="0000065A" w:rsidP="00BF05C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1,366,088</w:t>
            </w:r>
          </w:p>
        </w:tc>
        <w:tc>
          <w:tcPr>
            <w:tcW w:w="626"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144,590</w:t>
            </w:r>
          </w:p>
        </w:tc>
        <w:tc>
          <w:tcPr>
            <w:tcW w:w="641"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137,744</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6,768,318</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3,165,656</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(64,958)</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7,274,742</w:t>
            </w:r>
          </w:p>
        </w:tc>
        <w:tc>
          <w:tcPr>
            <w:tcW w:w="626"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4,091,798</w:t>
            </w:r>
          </w:p>
        </w:tc>
        <w:tc>
          <w:tcPr>
            <w:tcW w:w="641"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(488,069)</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612</w:t>
            </w:r>
          </w:p>
        </w:tc>
        <w:tc>
          <w:tcPr>
            <w:tcW w:w="641" w:type="pct"/>
            <w:tcBorders>
              <w:top w:val="nil"/>
              <w:left w:val="nil"/>
              <w:bottom w:val="nil"/>
              <w:right w:val="nil"/>
            </w:tcBorders>
            <w:shd w:val="clear" w:color="auto" w:fill="auto"/>
            <w:noWrap/>
            <w:vAlign w:val="center"/>
            <w:hideMark/>
          </w:tcPr>
          <w:p w:rsidR="0000065A" w:rsidRDefault="0000065A" w:rsidP="0000065A">
            <w:pPr>
              <w:jc w:val="right"/>
              <w:rPr>
                <w:szCs w:val="16"/>
              </w:rPr>
            </w:pPr>
            <w:r>
              <w:rPr>
                <w:szCs w:val="16"/>
              </w:rPr>
              <w:t>1,957</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569"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626"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641" w:type="pct"/>
            <w:tcBorders>
              <w:top w:val="nil"/>
              <w:left w:val="nil"/>
              <w:bottom w:val="nil"/>
              <w:right w:val="nil"/>
            </w:tcBorders>
            <w:shd w:val="clear" w:color="auto" w:fill="auto"/>
            <w:vAlign w:val="center"/>
            <w:hideMark/>
          </w:tcPr>
          <w:p w:rsidR="0000065A" w:rsidRDefault="0000065A" w:rsidP="0000065A">
            <w:pPr>
              <w:jc w:val="right"/>
              <w:rPr>
                <w:sz w:val="20"/>
              </w:rPr>
            </w:pP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0A675C" w:rsidRDefault="0000065A" w:rsidP="00BF05C2">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546,371</w:t>
            </w:r>
          </w:p>
        </w:tc>
        <w:tc>
          <w:tcPr>
            <w:tcW w:w="626"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926,760</w:t>
            </w:r>
          </w:p>
        </w:tc>
        <w:tc>
          <w:tcPr>
            <w:tcW w:w="641"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(420,935)</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0A675C" w:rsidRDefault="0000065A" w:rsidP="00BF05C2">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(6)</w:t>
            </w:r>
          </w:p>
        </w:tc>
        <w:tc>
          <w:tcPr>
            <w:tcW w:w="641"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(220)</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(1,232,712)</w:t>
            </w:r>
          </w:p>
        </w:tc>
        <w:tc>
          <w:tcPr>
            <w:tcW w:w="626"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(192,407)</w:t>
            </w:r>
          </w:p>
        </w:tc>
        <w:tc>
          <w:tcPr>
            <w:tcW w:w="641" w:type="pct"/>
            <w:tcBorders>
              <w:top w:val="nil"/>
              <w:left w:val="nil"/>
              <w:bottom w:val="nil"/>
              <w:right w:val="nil"/>
            </w:tcBorders>
            <w:shd w:val="clear" w:color="auto" w:fill="auto"/>
            <w:vAlign w:val="center"/>
            <w:hideMark/>
          </w:tcPr>
          <w:p w:rsidR="0000065A" w:rsidRDefault="0000065A" w:rsidP="0000065A">
            <w:pPr>
              <w:jc w:val="right"/>
              <w:rPr>
                <w:b/>
                <w:bCs/>
                <w:szCs w:val="16"/>
              </w:rPr>
            </w:pPr>
            <w:r>
              <w:rPr>
                <w:b/>
                <w:bCs/>
                <w:szCs w:val="16"/>
              </w:rPr>
              <w:t>(242,228)</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(1,021,385)</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(105,215)</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(172,306)</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569"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626" w:type="pct"/>
            <w:tcBorders>
              <w:top w:val="nil"/>
              <w:left w:val="nil"/>
              <w:bottom w:val="nil"/>
              <w:right w:val="nil"/>
            </w:tcBorders>
            <w:shd w:val="clear" w:color="auto" w:fill="auto"/>
            <w:vAlign w:val="center"/>
            <w:hideMark/>
          </w:tcPr>
          <w:p w:rsidR="0000065A" w:rsidRDefault="0000065A" w:rsidP="0000065A">
            <w:pPr>
              <w:jc w:val="right"/>
              <w:rPr>
                <w:sz w:val="20"/>
              </w:rPr>
            </w:pPr>
          </w:p>
        </w:tc>
        <w:tc>
          <w:tcPr>
            <w:tcW w:w="641" w:type="pct"/>
            <w:tcBorders>
              <w:top w:val="nil"/>
              <w:left w:val="nil"/>
              <w:bottom w:val="nil"/>
              <w:right w:val="nil"/>
            </w:tcBorders>
            <w:shd w:val="clear" w:color="auto" w:fill="auto"/>
            <w:vAlign w:val="center"/>
            <w:hideMark/>
          </w:tcPr>
          <w:p w:rsidR="0000065A" w:rsidRDefault="0000065A" w:rsidP="0000065A">
            <w:pPr>
              <w:jc w:val="right"/>
              <w:rPr>
                <w:sz w:val="20"/>
              </w:rPr>
            </w:pP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0A675C" w:rsidRDefault="0000065A" w:rsidP="00BF05C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1,022,409</w:t>
            </w:r>
          </w:p>
        </w:tc>
        <w:tc>
          <w:tcPr>
            <w:tcW w:w="626"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105,215</w:t>
            </w:r>
          </w:p>
        </w:tc>
        <w:tc>
          <w:tcPr>
            <w:tcW w:w="641" w:type="pct"/>
            <w:tcBorders>
              <w:top w:val="nil"/>
              <w:left w:val="nil"/>
              <w:bottom w:val="nil"/>
              <w:right w:val="nil"/>
            </w:tcBorders>
            <w:shd w:val="clear" w:color="auto" w:fill="auto"/>
            <w:vAlign w:val="center"/>
            <w:hideMark/>
          </w:tcPr>
          <w:p w:rsidR="0000065A" w:rsidRDefault="0000065A" w:rsidP="0000065A">
            <w:pPr>
              <w:jc w:val="right"/>
              <w:rPr>
                <w:i/>
                <w:iCs/>
                <w:szCs w:val="16"/>
              </w:rPr>
            </w:pPr>
            <w:r>
              <w:rPr>
                <w:i/>
                <w:iCs/>
                <w:szCs w:val="16"/>
              </w:rPr>
              <w:t>172,306</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(87,193)</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(69,921)</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0065A" w:rsidRDefault="0000065A" w:rsidP="0000065A">
            <w:pPr>
              <w:jc w:val="right"/>
              <w:rPr>
                <w:sz w:val="20"/>
              </w:rPr>
            </w:pPr>
          </w:p>
        </w:tc>
        <w:tc>
          <w:tcPr>
            <w:tcW w:w="569" w:type="pct"/>
            <w:tcBorders>
              <w:top w:val="nil"/>
              <w:left w:val="nil"/>
              <w:bottom w:val="nil"/>
              <w:right w:val="nil"/>
            </w:tcBorders>
            <w:shd w:val="clear" w:color="auto" w:fill="auto"/>
            <w:noWrap/>
            <w:vAlign w:val="center"/>
            <w:hideMark/>
          </w:tcPr>
          <w:p w:rsidR="0000065A" w:rsidRDefault="0000065A" w:rsidP="0000065A">
            <w:pPr>
              <w:jc w:val="right"/>
              <w:rPr>
                <w:sz w:val="20"/>
              </w:rPr>
            </w:pPr>
          </w:p>
        </w:tc>
        <w:tc>
          <w:tcPr>
            <w:tcW w:w="626" w:type="pct"/>
            <w:tcBorders>
              <w:top w:val="nil"/>
              <w:left w:val="nil"/>
              <w:bottom w:val="nil"/>
              <w:right w:val="nil"/>
            </w:tcBorders>
            <w:shd w:val="clear" w:color="auto" w:fill="auto"/>
            <w:noWrap/>
            <w:vAlign w:val="center"/>
            <w:hideMark/>
          </w:tcPr>
          <w:p w:rsidR="0000065A" w:rsidRDefault="0000065A" w:rsidP="0000065A">
            <w:pPr>
              <w:jc w:val="right"/>
              <w:rPr>
                <w:sz w:val="20"/>
              </w:rPr>
            </w:pPr>
          </w:p>
        </w:tc>
        <w:tc>
          <w:tcPr>
            <w:tcW w:w="641" w:type="pct"/>
            <w:tcBorders>
              <w:top w:val="nil"/>
              <w:left w:val="nil"/>
              <w:bottom w:val="nil"/>
              <w:right w:val="nil"/>
            </w:tcBorders>
            <w:shd w:val="clear" w:color="auto" w:fill="auto"/>
            <w:noWrap/>
            <w:vAlign w:val="center"/>
            <w:hideMark/>
          </w:tcPr>
          <w:p w:rsidR="0000065A" w:rsidRDefault="0000065A" w:rsidP="0000065A">
            <w:pPr>
              <w:jc w:val="right"/>
              <w:rPr>
                <w:sz w:val="20"/>
              </w:rPr>
            </w:pP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(5,515)</w:t>
            </w:r>
          </w:p>
        </w:tc>
        <w:tc>
          <w:tcPr>
            <w:tcW w:w="641" w:type="pct"/>
            <w:tcBorders>
              <w:top w:val="nil"/>
              <w:left w:val="nil"/>
              <w:bottom w:val="nil"/>
              <w:right w:val="nil"/>
            </w:tcBorders>
            <w:shd w:val="clear" w:color="auto" w:fill="auto"/>
            <w:vAlign w:val="center"/>
            <w:hideMark/>
          </w:tcPr>
          <w:p w:rsidR="0000065A" w:rsidRDefault="0000065A" w:rsidP="0000065A">
            <w:pPr>
              <w:jc w:val="right"/>
              <w:rPr>
                <w:szCs w:val="16"/>
              </w:rPr>
            </w:pPr>
            <w:r>
              <w:rPr>
                <w:szCs w:val="16"/>
              </w:rPr>
              <w:t>-</w:t>
            </w:r>
          </w:p>
        </w:tc>
      </w:tr>
      <w:tr w:rsidR="0000065A" w:rsidRPr="00D5469A" w:rsidTr="009168FC">
        <w:trPr>
          <w:trHeight w:val="288"/>
          <w:jc w:val="center"/>
        </w:trPr>
        <w:tc>
          <w:tcPr>
            <w:tcW w:w="2596" w:type="pct"/>
            <w:tcBorders>
              <w:top w:val="nil"/>
              <w:left w:val="nil"/>
              <w:bottom w:val="nil"/>
              <w:right w:val="nil"/>
            </w:tcBorders>
            <w:shd w:val="clear" w:color="auto" w:fill="auto"/>
            <w:vAlign w:val="center"/>
            <w:hideMark/>
          </w:tcPr>
          <w:p w:rsidR="0000065A" w:rsidRPr="00D5469A" w:rsidRDefault="0000065A" w:rsidP="00BF05C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0065A" w:rsidRDefault="0000065A" w:rsidP="0000065A">
            <w:pPr>
              <w:jc w:val="right"/>
              <w:rPr>
                <w:sz w:val="20"/>
              </w:rPr>
            </w:pPr>
          </w:p>
        </w:tc>
        <w:tc>
          <w:tcPr>
            <w:tcW w:w="569" w:type="pct"/>
            <w:tcBorders>
              <w:top w:val="nil"/>
              <w:left w:val="nil"/>
              <w:bottom w:val="nil"/>
              <w:right w:val="nil"/>
            </w:tcBorders>
            <w:shd w:val="clear" w:color="auto" w:fill="auto"/>
            <w:noWrap/>
            <w:vAlign w:val="center"/>
            <w:hideMark/>
          </w:tcPr>
          <w:p w:rsidR="0000065A" w:rsidRDefault="0000065A" w:rsidP="0000065A">
            <w:pPr>
              <w:jc w:val="right"/>
              <w:rPr>
                <w:sz w:val="20"/>
              </w:rPr>
            </w:pPr>
          </w:p>
        </w:tc>
        <w:tc>
          <w:tcPr>
            <w:tcW w:w="626" w:type="pct"/>
            <w:tcBorders>
              <w:top w:val="nil"/>
              <w:left w:val="nil"/>
              <w:bottom w:val="nil"/>
              <w:right w:val="nil"/>
            </w:tcBorders>
            <w:shd w:val="clear" w:color="auto" w:fill="auto"/>
            <w:noWrap/>
            <w:vAlign w:val="center"/>
            <w:hideMark/>
          </w:tcPr>
          <w:p w:rsidR="0000065A" w:rsidRDefault="0000065A" w:rsidP="0000065A">
            <w:pPr>
              <w:jc w:val="right"/>
              <w:rPr>
                <w:sz w:val="20"/>
              </w:rPr>
            </w:pPr>
          </w:p>
        </w:tc>
        <w:tc>
          <w:tcPr>
            <w:tcW w:w="641" w:type="pct"/>
            <w:tcBorders>
              <w:top w:val="nil"/>
              <w:left w:val="nil"/>
              <w:bottom w:val="nil"/>
              <w:right w:val="nil"/>
            </w:tcBorders>
            <w:shd w:val="clear" w:color="auto" w:fill="auto"/>
            <w:noWrap/>
            <w:vAlign w:val="center"/>
            <w:hideMark/>
          </w:tcPr>
          <w:p w:rsidR="0000065A" w:rsidRDefault="0000065A" w:rsidP="0000065A">
            <w:pPr>
              <w:jc w:val="right"/>
              <w:rPr>
                <w:sz w:val="20"/>
              </w:rPr>
            </w:pPr>
          </w:p>
        </w:tc>
      </w:tr>
      <w:tr w:rsidR="0000065A"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00065A" w:rsidRPr="000A675C" w:rsidRDefault="0000065A" w:rsidP="00BF05C2">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00065A" w:rsidRDefault="0000065A" w:rsidP="0000065A">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00065A" w:rsidRDefault="0000065A" w:rsidP="0000065A">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00065A" w:rsidRDefault="0000065A" w:rsidP="0000065A">
            <w:pPr>
              <w:jc w:val="right"/>
              <w:rPr>
                <w:i/>
                <w:iCs/>
                <w:szCs w:val="16"/>
              </w:rPr>
            </w:pPr>
            <w:r>
              <w:rPr>
                <w:i/>
                <w:iCs/>
                <w:szCs w:val="16"/>
              </w:rPr>
              <w:t>81,677</w:t>
            </w:r>
          </w:p>
        </w:tc>
        <w:tc>
          <w:tcPr>
            <w:tcW w:w="641" w:type="pct"/>
            <w:tcBorders>
              <w:top w:val="nil"/>
              <w:left w:val="nil"/>
              <w:bottom w:val="single" w:sz="12" w:space="0" w:color="auto"/>
              <w:right w:val="nil"/>
            </w:tcBorders>
            <w:shd w:val="clear" w:color="auto" w:fill="auto"/>
            <w:vAlign w:val="center"/>
            <w:hideMark/>
          </w:tcPr>
          <w:p w:rsidR="0000065A" w:rsidRDefault="0000065A" w:rsidP="0000065A">
            <w:pPr>
              <w:jc w:val="right"/>
              <w:rPr>
                <w:i/>
                <w:iCs/>
                <w:szCs w:val="16"/>
              </w:rPr>
            </w:pPr>
            <w:r>
              <w:rPr>
                <w:i/>
                <w:iCs/>
                <w:szCs w:val="16"/>
              </w:rPr>
              <w:t>69,921</w:t>
            </w:r>
          </w:p>
        </w:tc>
      </w:tr>
      <w:tr w:rsidR="0000065A"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00065A" w:rsidRPr="00D5469A" w:rsidRDefault="0000065A" w:rsidP="00BF05C2">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0065A" w:rsidRDefault="0000065A" w:rsidP="0000065A">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00065A" w:rsidRDefault="0000065A" w:rsidP="0000065A">
            <w:pPr>
              <w:jc w:val="right"/>
              <w:rPr>
                <w:b/>
                <w:bCs/>
                <w:szCs w:val="16"/>
              </w:rPr>
            </w:pPr>
            <w:r>
              <w:rPr>
                <w:b/>
                <w:bCs/>
                <w:szCs w:val="16"/>
              </w:rPr>
              <w:t>13,763,948</w:t>
            </w:r>
          </w:p>
        </w:tc>
        <w:tc>
          <w:tcPr>
            <w:tcW w:w="626" w:type="pct"/>
            <w:tcBorders>
              <w:top w:val="single" w:sz="12" w:space="0" w:color="auto"/>
              <w:left w:val="nil"/>
              <w:bottom w:val="single" w:sz="12" w:space="0" w:color="auto"/>
              <w:right w:val="nil"/>
            </w:tcBorders>
            <w:shd w:val="clear" w:color="auto" w:fill="auto"/>
            <w:vAlign w:val="center"/>
            <w:hideMark/>
          </w:tcPr>
          <w:p w:rsidR="0000065A" w:rsidRDefault="0000065A" w:rsidP="0000065A">
            <w:pPr>
              <w:jc w:val="right"/>
              <w:rPr>
                <w:b/>
                <w:bCs/>
                <w:szCs w:val="16"/>
              </w:rPr>
            </w:pPr>
            <w:r>
              <w:rPr>
                <w:b/>
                <w:bCs/>
                <w:szCs w:val="16"/>
              </w:rPr>
              <w:t>2,203,507</w:t>
            </w:r>
          </w:p>
        </w:tc>
        <w:tc>
          <w:tcPr>
            <w:tcW w:w="641" w:type="pct"/>
            <w:tcBorders>
              <w:top w:val="single" w:sz="12" w:space="0" w:color="auto"/>
              <w:left w:val="nil"/>
              <w:bottom w:val="single" w:sz="12" w:space="0" w:color="auto"/>
              <w:right w:val="nil"/>
            </w:tcBorders>
            <w:shd w:val="clear" w:color="auto" w:fill="auto"/>
            <w:vAlign w:val="center"/>
            <w:hideMark/>
          </w:tcPr>
          <w:p w:rsidR="0000065A" w:rsidRDefault="0000065A" w:rsidP="0000065A">
            <w:pPr>
              <w:jc w:val="right"/>
              <w:rPr>
                <w:b/>
                <w:bCs/>
                <w:szCs w:val="16"/>
              </w:rPr>
            </w:pPr>
            <w:r>
              <w:rPr>
                <w:b/>
                <w:bCs/>
                <w:szCs w:val="16"/>
              </w:rPr>
              <w:t>2,167,480</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w:t>
            </w:r>
            <w:proofErr w:type="spellStart"/>
            <w:r w:rsidRPr="00A5761B">
              <w:rPr>
                <w:color w:val="auto"/>
                <w:sz w:val="14"/>
                <w:szCs w:val="14"/>
              </w:rPr>
              <w:t>muajjal</w:t>
            </w:r>
            <w:proofErr w:type="spellEnd"/>
            <w:r w:rsidRPr="00A5761B">
              <w:rPr>
                <w:color w:val="auto"/>
                <w:sz w:val="14"/>
                <w:szCs w:val="14"/>
              </w:rPr>
              <w:t>)</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C07FEB" w:rsidP="00B4576D">
            <w:pPr>
              <w:jc w:val="left"/>
              <w:rPr>
                <w:color w:val="auto"/>
                <w:sz w:val="14"/>
                <w:szCs w:val="14"/>
              </w:rPr>
            </w:pPr>
            <w:hyperlink r:id="rId20"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A44D58" w:rsidRPr="00D5469A" w:rsidTr="00B27873">
        <w:trPr>
          <w:trHeight w:val="259"/>
          <w:jc w:val="center"/>
        </w:trPr>
        <w:tc>
          <w:tcPr>
            <w:tcW w:w="2596" w:type="pct"/>
            <w:tcBorders>
              <w:top w:val="single" w:sz="12" w:space="0" w:color="auto"/>
              <w:left w:val="nil"/>
              <w:bottom w:val="nil"/>
              <w:right w:val="nil"/>
            </w:tcBorders>
            <w:shd w:val="clear" w:color="auto" w:fill="auto"/>
            <w:vAlign w:val="center"/>
            <w:hideMark/>
          </w:tcPr>
          <w:p w:rsidR="00A44D58" w:rsidRPr="00D5469A" w:rsidRDefault="00A44D58" w:rsidP="00B2787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(376)</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(831)</w:t>
            </w:r>
          </w:p>
        </w:tc>
      </w:tr>
      <w:tr w:rsidR="00A44D58" w:rsidRPr="00D5469A" w:rsidTr="00B27873">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B2787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(73,139)</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43,092</w:t>
            </w:r>
          </w:p>
        </w:tc>
      </w:tr>
      <w:tr w:rsidR="00A44D58" w:rsidRPr="00D5469A" w:rsidTr="00B27873">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B2787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4,465</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9,952</w:t>
            </w:r>
          </w:p>
        </w:tc>
      </w:tr>
      <w:tr w:rsidR="00A44D58" w:rsidRPr="00D5469A" w:rsidTr="00B27873">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B2787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5,684</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4,626</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bottom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1F2E25">
        <w:trPr>
          <w:trHeight w:val="259"/>
          <w:jc w:val="center"/>
        </w:trPr>
        <w:tc>
          <w:tcPr>
            <w:tcW w:w="2596" w:type="pct"/>
            <w:tcBorders>
              <w:top w:val="nil"/>
              <w:left w:val="nil"/>
              <w:right w:val="nil"/>
            </w:tcBorders>
            <w:shd w:val="clear" w:color="auto" w:fill="auto"/>
            <w:vAlign w:val="center"/>
            <w:hideMark/>
          </w:tcPr>
          <w:p w:rsidR="00A44D58" w:rsidRPr="00D5469A" w:rsidRDefault="00A44D58" w:rsidP="00CD777A">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A44D58" w:rsidRDefault="00A44D58" w:rsidP="00A44D58">
            <w:pPr>
              <w:jc w:val="right"/>
              <w:rPr>
                <w:szCs w:val="16"/>
              </w:rPr>
            </w:pPr>
            <w:r>
              <w:rPr>
                <w:szCs w:val="16"/>
              </w:rPr>
              <w:t>-</w:t>
            </w:r>
          </w:p>
        </w:tc>
      </w:tr>
      <w:tr w:rsidR="00A44D58" w:rsidRPr="00D5469A" w:rsidTr="00B27873">
        <w:trPr>
          <w:trHeight w:val="259"/>
          <w:jc w:val="center"/>
        </w:trPr>
        <w:tc>
          <w:tcPr>
            <w:tcW w:w="2596" w:type="pct"/>
            <w:tcBorders>
              <w:left w:val="nil"/>
              <w:bottom w:val="single" w:sz="12" w:space="0" w:color="auto"/>
              <w:right w:val="nil"/>
            </w:tcBorders>
            <w:shd w:val="clear" w:color="auto" w:fill="auto"/>
            <w:vAlign w:val="center"/>
          </w:tcPr>
          <w:p w:rsidR="00A44D58" w:rsidRPr="00D5469A" w:rsidRDefault="00A44D58" w:rsidP="00B2787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szCs w:val="16"/>
              </w:rPr>
            </w:pPr>
            <w:r>
              <w:rPr>
                <w:szCs w:val="16"/>
              </w:rPr>
              <w:t>102</w:t>
            </w:r>
          </w:p>
        </w:tc>
        <w:tc>
          <w:tcPr>
            <w:tcW w:w="641" w:type="pct"/>
            <w:tcBorders>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szCs w:val="16"/>
              </w:rPr>
            </w:pPr>
            <w:r>
              <w:rPr>
                <w:szCs w:val="16"/>
              </w:rPr>
              <w:t>178</w:t>
            </w:r>
          </w:p>
        </w:tc>
      </w:tr>
      <w:tr w:rsidR="00A44D58" w:rsidRPr="00D5469A" w:rsidTr="00B27873">
        <w:trPr>
          <w:trHeight w:val="259"/>
          <w:jc w:val="center"/>
        </w:trPr>
        <w:tc>
          <w:tcPr>
            <w:tcW w:w="2596" w:type="pct"/>
            <w:tcBorders>
              <w:top w:val="nil"/>
              <w:left w:val="nil"/>
              <w:bottom w:val="single" w:sz="12" w:space="0" w:color="auto"/>
              <w:right w:val="nil"/>
            </w:tcBorders>
            <w:shd w:val="clear" w:color="auto" w:fill="auto"/>
            <w:vAlign w:val="center"/>
          </w:tcPr>
          <w:p w:rsidR="00A44D58" w:rsidRPr="00D5469A" w:rsidRDefault="00A44D58" w:rsidP="00B2787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b/>
                <w:bCs/>
                <w:szCs w:val="16"/>
              </w:rPr>
            </w:pPr>
            <w:r>
              <w:rPr>
                <w:b/>
                <w:bCs/>
                <w:szCs w:val="16"/>
              </w:rPr>
              <w:t>(63,264)</w:t>
            </w:r>
          </w:p>
        </w:tc>
        <w:tc>
          <w:tcPr>
            <w:tcW w:w="641" w:type="pct"/>
            <w:tcBorders>
              <w:top w:val="nil"/>
              <w:left w:val="nil"/>
              <w:bottom w:val="single" w:sz="12" w:space="0" w:color="auto"/>
              <w:right w:val="nil"/>
            </w:tcBorders>
            <w:shd w:val="clear" w:color="auto" w:fill="auto"/>
            <w:tcMar>
              <w:left w:w="72" w:type="dxa"/>
              <w:right w:w="72" w:type="dxa"/>
            </w:tcMar>
            <w:vAlign w:val="center"/>
          </w:tcPr>
          <w:p w:rsidR="00A44D58" w:rsidRDefault="00A44D58" w:rsidP="00A44D58">
            <w:pPr>
              <w:jc w:val="right"/>
              <w:rPr>
                <w:b/>
                <w:bCs/>
                <w:szCs w:val="16"/>
              </w:rPr>
            </w:pPr>
            <w:r>
              <w:rPr>
                <w:b/>
                <w:bCs/>
                <w:szCs w:val="16"/>
              </w:rPr>
              <w:t>57,019</w:t>
            </w:r>
          </w:p>
        </w:tc>
      </w:tr>
      <w:tr w:rsidR="000B24E7"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B24E7" w:rsidRDefault="000B24E7"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C81E06"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C81E06" w:rsidRPr="000C3431" w:rsidRDefault="00C81E06" w:rsidP="00C81E06">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C3431" w:rsidTr="001E5D12">
        <w:trPr>
          <w:trHeight w:val="360"/>
          <w:jc w:val="center"/>
        </w:trPr>
        <w:tc>
          <w:tcPr>
            <w:tcW w:w="2430" w:type="dxa"/>
            <w:tcBorders>
              <w:top w:val="nil"/>
              <w:left w:val="nil"/>
              <w:bottom w:val="nil"/>
              <w:right w:val="nil"/>
            </w:tcBorders>
            <w:shd w:val="clear" w:color="auto" w:fill="auto"/>
            <w:vAlign w:val="center"/>
            <w:hideMark/>
          </w:tcPr>
          <w:p w:rsidR="00C81E06" w:rsidRPr="000C3431" w:rsidRDefault="00C81E06" w:rsidP="00C81E06">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81E06" w:rsidRPr="000C3431" w:rsidRDefault="00C81E06" w:rsidP="00C81E06">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198.8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128.8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148.4</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146.1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5,412,362.4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5,318,986.8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5,963,808.6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6,233,280.9</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6,744,868.1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6,492,086.2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5,412,469.6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5,319,185.5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5,963,937.5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6,233,429.3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6,745,014.2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6,492,272.4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890,392.6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950,759.4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1,154,356.3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1,130,104.9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809,110.5</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749,362.6</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398,129.5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468,625.0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515,952.4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557,366.5</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585,912.2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585,959.3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491,500.0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481,371.3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637,406.6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571,741.1</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222,201.0</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162,406.0</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997.3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4,514,853.3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4,360,065.1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4,800,233.5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5,093,307.4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5,925,425.4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5,732,431.4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870.8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1,039.4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469.2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454.1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465.1</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4,513,982.5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4,359,025.7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4,799,759.9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5,092,838.2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5,924,971.3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5,731,966.3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7,223.7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8,361.0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10,017.0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10,478.4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10,478.4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6,436.4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7,573.7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9,007.9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9,469.3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9,469.3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670.9</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331.4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w:t>
            </w:r>
          </w:p>
        </w:tc>
      </w:tr>
      <w:tr w:rsidR="00C81E06"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C81E06" w:rsidRPr="000C3431" w:rsidRDefault="00C81E06" w:rsidP="00C81E06">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r>
      <w:tr w:rsidR="00C81E06"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C81E06" w:rsidRPr="000C3431" w:rsidRDefault="00C81E06" w:rsidP="00C81E06">
            <w:pPr>
              <w:jc w:val="right"/>
              <w:rPr>
                <w:color w:val="auto"/>
                <w:sz w:val="14"/>
                <w:szCs w:val="14"/>
              </w:rPr>
            </w:pPr>
            <w:r w:rsidRPr="000C3431">
              <w:rPr>
                <w:color w:val="auto"/>
                <w:sz w:val="14"/>
                <w:szCs w:val="14"/>
              </w:rPr>
              <w:t>Source: Finance Department SBP</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C81E06"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C81E06" w:rsidRPr="0000246F" w:rsidRDefault="00C81E06" w:rsidP="00C81E06">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81E06" w:rsidRPr="0000246F" w:rsidRDefault="00C81E06" w:rsidP="00C81E06">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47,151.2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4,149,832.8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4,307,760.6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4,677,453.2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5,033,998.7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4,682,699.0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4,465,780.7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806,599.3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347,654.3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1,061,155.9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1,375,440.9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1,175,057.3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1,080,848.7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265,310.1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209,294.7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393,081.4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512,084.8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380,700.4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209,335.2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871,138.9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1,282,761.3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970,864.2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844,923.9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821,932.0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867,566.0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2,206,784.5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2,468,050.3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2,252,351.7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2,301,549.2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2,305,009.3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2,308,030.9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203,035.7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225,080.9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220,572.5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214,985.1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217,160.9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227,464.8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1,077.1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1,169.8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1,222.2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1,109.0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1,263.1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452,907.5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523,255.7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642,955.4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671,501.1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671,501.1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1,114,791.8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976,452.8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1,816,374.6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2,056,653.0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1,960,565.7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2,097,544.4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5,991,180.5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6,103,255.3</w:t>
            </w:r>
          </w:p>
        </w:tc>
        <w:tc>
          <w:tcPr>
            <w:tcW w:w="810"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7,399,864.2</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8,008,365.7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7,591,586.8</w:t>
            </w:r>
          </w:p>
        </w:tc>
        <w:tc>
          <w:tcPr>
            <w:tcW w:w="764"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7,522,105.3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198.8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128.8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146.1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876,909.6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905,746.1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1,455,699.7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1,484,919.7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1,638,558.5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1,897,692.5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19,221.4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21,308.4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16,980.5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17,786.2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23,649.5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26,080.8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28,023.5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29,106.1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28,540.0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26,550.3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550,553.1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563,998.1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700,616.1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722,589.7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745,446.4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779,314.9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1,749.3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1,813.1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1,880.1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1,969.4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146,930.3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150,079.1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182,018.9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184,856.1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188,602.8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191,934.4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385,759.5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386,889.4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503,784.5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522,813.6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533,635.2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536,835.5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16,740.9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25,746.8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13,063.4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13,106.9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21,328.3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48,575.6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11,453.2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11,742.5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12,929.5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13,041.6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13,888.9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14,191.6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284.9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279.9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218.2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11,168.3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11,462.5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12,704.5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12,821.2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13,449.4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13,464.5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225.1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512.3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562,006.3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575,740.6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713,545.6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735,631.3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759,335.3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793,506.5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2,863,989.3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3,075,510.9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3,113,112.8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2,856,602.0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2,124,324.8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2,395,484.2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54,331.9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22,938.7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2,726,411.8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2,937,442.3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2,954,228.1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2,721,485.6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1,989,192.0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2,260,346.4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57,906.4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58,397.6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57,552.4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57,845.9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57,862.2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57,867.2</w:t>
            </w:r>
          </w:p>
        </w:tc>
      </w:tr>
      <w:tr w:rsidR="00FA165D" w:rsidRPr="0000246F" w:rsidTr="00FA165D">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1,645,293.8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1,498,666.3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2,088,322.6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2,836,815.6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3,023,698.0</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2,390,895.9</w:t>
            </w:r>
          </w:p>
        </w:tc>
      </w:tr>
      <w:tr w:rsidR="00C81E0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81E06" w:rsidRDefault="00C81E06" w:rsidP="00C81E0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81E06" w:rsidRPr="0000246F" w:rsidRDefault="00C81E06" w:rsidP="00C81E0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63113"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63113" w:rsidRPr="005249C8" w:rsidRDefault="00963113"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63113" w:rsidRPr="00AB7A08" w:rsidRDefault="00963113"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AB7A08">
            <w:pPr>
              <w:jc w:val="right"/>
              <w:rPr>
                <w:b/>
                <w:bCs/>
                <w:color w:val="auto"/>
                <w:szCs w:val="16"/>
              </w:rPr>
            </w:pPr>
            <w:r w:rsidRPr="00AB7A08">
              <w:rPr>
                <w:b/>
                <w:bCs/>
                <w:color w:val="auto"/>
                <w:szCs w:val="16"/>
              </w:rPr>
              <w:t>FY18</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0A4093">
            <w:pPr>
              <w:jc w:val="right"/>
              <w:rPr>
                <w:b/>
                <w:bCs/>
                <w:color w:val="auto"/>
                <w:szCs w:val="16"/>
              </w:rPr>
            </w:pPr>
            <w:r w:rsidRPr="00AB7A08">
              <w:rPr>
                <w:b/>
                <w:bCs/>
                <w:color w:val="auto"/>
                <w:szCs w:val="16"/>
              </w:rPr>
              <w:t>FY19</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63113" w:rsidRPr="006619BF" w:rsidRDefault="00963113" w:rsidP="00AB7A08">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963113" w:rsidRPr="006619BF" w:rsidRDefault="00963113" w:rsidP="00AB7A08">
            <w:pPr>
              <w:rPr>
                <w:b/>
                <w:bCs/>
                <w:color w:val="auto"/>
                <w:szCs w:val="16"/>
              </w:rPr>
            </w:pPr>
            <w:r>
              <w:rPr>
                <w:b/>
                <w:bCs/>
                <w:color w:val="auto"/>
                <w:szCs w:val="16"/>
              </w:rPr>
              <w:t>2020</w:t>
            </w:r>
          </w:p>
        </w:tc>
      </w:tr>
      <w:tr w:rsidR="00C81E06"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81E06" w:rsidRPr="00273A44" w:rsidRDefault="00C81E06" w:rsidP="00C81E06">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Mar</w:t>
            </w:r>
          </w:p>
        </w:tc>
        <w:tc>
          <w:tcPr>
            <w:tcW w:w="813"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09"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r>
      <w:tr w:rsidR="00C81E06"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C81E06" w:rsidRPr="00B34F49" w:rsidRDefault="00C81E06" w:rsidP="00C81E06">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C81E06" w:rsidRPr="00B34F49" w:rsidRDefault="00C81E06" w:rsidP="00C81E0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81E06" w:rsidRPr="00B34F49" w:rsidRDefault="00C81E06" w:rsidP="00C81E06">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C81E06" w:rsidRPr="002C2345" w:rsidRDefault="00C81E06" w:rsidP="00C81E06">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C81E06" w:rsidRPr="002C2345" w:rsidRDefault="00C81E06" w:rsidP="00C81E06">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C81E06" w:rsidRPr="002C2345" w:rsidRDefault="00C81E06" w:rsidP="00C81E06">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81E06" w:rsidRPr="002C2345" w:rsidRDefault="00C81E06" w:rsidP="00C81E06">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C81E06" w:rsidRPr="002C2345" w:rsidRDefault="00C81E06" w:rsidP="00C81E06">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81E06" w:rsidRPr="002C2345" w:rsidRDefault="00C81E06" w:rsidP="00C81E06">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81E06" w:rsidRPr="002C2345" w:rsidRDefault="00C81E06" w:rsidP="00C81E06">
            <w:pPr>
              <w:jc w:val="right"/>
              <w:rPr>
                <w:sz w:val="14"/>
                <w:szCs w:val="14"/>
              </w:rPr>
            </w:pP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1,349,450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1,966,692</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1,436,568</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1,966,692</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1,393,722</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1,244,493</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1,390,850</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1,408,559</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186,038</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195,992</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179,579</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195,992</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220,241</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189,960</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195,683</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212,150</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612,681</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717,249</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826,868</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717,249</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870,922</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1,284,549</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716,715</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843,513</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8,178,723</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7,624,217</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7,299,989</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7,624,217</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9,296,980</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9,793,575</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10,382,024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10,681,288</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6,897,850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7,608,678</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7,534,182</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7,608,678</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7,734,856</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7,670,370</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7,805,895</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7,655,531</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7,361,622</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8,096,771</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8,021,991</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8,096,771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8,259,017</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8,216,614</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8,356,599</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8,202,328</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463,772</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488,093</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487,809</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488,093</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524,161</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546,244</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550,704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546,797</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417,591</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468,981</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466,281</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468,981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556,339</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570,668</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566,868</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567,753</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52,835</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59,834</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58,641</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59,834</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53,132</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59,090</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60,784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56,161</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715,125</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943,951</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815,735</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943,951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898,422</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838,848</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920,352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950,083</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18,410,293</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19,585,594</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18,617,843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b/>
                <w:bCs/>
                <w:sz w:val="14"/>
                <w:szCs w:val="14"/>
              </w:rPr>
            </w:pPr>
            <w:r>
              <w:rPr>
                <w:b/>
                <w:bCs/>
                <w:sz w:val="14"/>
                <w:szCs w:val="14"/>
              </w:rPr>
              <w:t>19,585,594</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21,024,615</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21,651,552</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22,039,172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22,375,037</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rFonts w:ascii="Calibri" w:hAnsi="Calibri"/>
                <w:sz w:val="22"/>
                <w:szCs w:val="22"/>
              </w:rPr>
            </w:pP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rFonts w:ascii="Calibri" w:hAnsi="Calibri"/>
                <w:sz w:val="22"/>
                <w:szCs w:val="22"/>
              </w:rPr>
            </w:pP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230,357</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299,737</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273,332</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299,737</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213,863</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600,184</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223,911</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245,363</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3,014,680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2,412,023</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2,565,151</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2,412,023</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2,826,543</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3,544,327</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3,351,457</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2,865,768</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13,062,787</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14,458,307</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13,459,780</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14,458,307</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15,126,310</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14,475,797</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15,480,920</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16,229,036</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79,460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108,670</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112,563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108,670</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126,593</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132,450</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127,764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126,296</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2,187</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2,181</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2,192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2,134</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22,070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22,591</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22,225</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22,591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40,342</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48,096</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47,077</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47,329</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577,934</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803,227</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734,138</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803,227</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917,020</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922,405</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935,542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964,493</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16,987,306</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18,104,555</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17,167,190</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b/>
                <w:bCs/>
                <w:sz w:val="14"/>
                <w:szCs w:val="14"/>
              </w:rPr>
            </w:pPr>
            <w:r>
              <w:rPr>
                <w:b/>
                <w:bCs/>
                <w:sz w:val="14"/>
                <w:szCs w:val="14"/>
              </w:rPr>
              <w:t>18,104,555</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19,252,858</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19,725,440</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20,168,862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20,480,420</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rFonts w:ascii="Calibri" w:hAnsi="Calibri"/>
                <w:sz w:val="22"/>
                <w:szCs w:val="22"/>
              </w:rPr>
            </w:pP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1,422,987</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1,481,039</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1,450,653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b/>
                <w:bCs/>
                <w:sz w:val="14"/>
                <w:szCs w:val="14"/>
              </w:rPr>
            </w:pPr>
            <w:r>
              <w:rPr>
                <w:b/>
                <w:bCs/>
                <w:sz w:val="14"/>
                <w:szCs w:val="14"/>
              </w:rPr>
              <w:t>1,481,039</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1,771,756</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1,926,111</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1,870,310</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1,894,617</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rFonts w:ascii="Calibri" w:hAnsi="Calibri"/>
                <w:sz w:val="22"/>
                <w:szCs w:val="22"/>
              </w:rPr>
            </w:pP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rFonts w:ascii="Calibri" w:hAnsi="Calibri"/>
                <w:sz w:val="22"/>
                <w:szCs w:val="22"/>
              </w:rPr>
            </w:pP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rFonts w:ascii="Calibri" w:hAnsi="Calibri"/>
                <w:sz w:val="22"/>
                <w:szCs w:val="22"/>
              </w:rPr>
            </w:pP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525,796</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546,922</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543,344</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546,922</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555,747</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555,047</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555,567</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556,465</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285,610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340,060</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333,356</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340,060</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341,131</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349,646</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351,805</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357,675</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440,846</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480,816</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460,323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480,816</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586,171</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575,543</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581,232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618,864</w:t>
            </w:r>
          </w:p>
        </w:tc>
      </w:tr>
      <w:tr w:rsidR="003F226F" w:rsidRPr="00B34F49" w:rsidTr="003F226F">
        <w:trPr>
          <w:trHeight w:hRule="exact" w:val="202"/>
          <w:jc w:val="center"/>
        </w:trPr>
        <w:tc>
          <w:tcPr>
            <w:tcW w:w="3420" w:type="dxa"/>
            <w:tcBorders>
              <w:top w:val="nil"/>
              <w:left w:val="nil"/>
              <w:bottom w:val="nil"/>
              <w:right w:val="nil"/>
            </w:tcBorders>
            <w:shd w:val="clear" w:color="auto" w:fill="auto"/>
            <w:noWrap/>
            <w:vAlign w:val="center"/>
            <w:hideMark/>
          </w:tcPr>
          <w:p w:rsidR="003F226F" w:rsidRPr="00B34F49" w:rsidRDefault="003F226F" w:rsidP="00C81E06">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170,736</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113,241</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113,630</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1F2B1A">
            <w:pPr>
              <w:jc w:val="right"/>
              <w:rPr>
                <w:sz w:val="14"/>
                <w:szCs w:val="14"/>
              </w:rPr>
            </w:pPr>
            <w:r>
              <w:rPr>
                <w:sz w:val="14"/>
                <w:szCs w:val="14"/>
              </w:rPr>
              <w:t>113,241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288,708</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445,875</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381,706</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361,613</w:t>
            </w:r>
          </w:p>
        </w:tc>
      </w:tr>
      <w:tr w:rsidR="003F226F" w:rsidRPr="00B34F49" w:rsidTr="003F226F">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3F226F" w:rsidRPr="00B34F49" w:rsidRDefault="003F226F" w:rsidP="00C81E06">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1,422,987</w:t>
            </w:r>
          </w:p>
        </w:tc>
        <w:tc>
          <w:tcPr>
            <w:tcW w:w="778"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1,481,039</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1,450,653</w:t>
            </w:r>
          </w:p>
        </w:tc>
        <w:tc>
          <w:tcPr>
            <w:tcW w:w="716"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1F2B1A">
            <w:pPr>
              <w:jc w:val="right"/>
              <w:rPr>
                <w:b/>
                <w:bCs/>
                <w:sz w:val="14"/>
                <w:szCs w:val="14"/>
              </w:rPr>
            </w:pPr>
            <w:r>
              <w:rPr>
                <w:b/>
                <w:bCs/>
                <w:sz w:val="14"/>
                <w:szCs w:val="14"/>
              </w:rPr>
              <w:t>1,481,039</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1,771,756</w:t>
            </w:r>
          </w:p>
        </w:tc>
        <w:tc>
          <w:tcPr>
            <w:tcW w:w="813"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1,926,112</w:t>
            </w:r>
          </w:p>
        </w:tc>
        <w:tc>
          <w:tcPr>
            <w:tcW w:w="809"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1,870,310</w:t>
            </w:r>
          </w:p>
        </w:tc>
        <w:tc>
          <w:tcPr>
            <w:tcW w:w="746"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1,894,617</w:t>
            </w:r>
          </w:p>
        </w:tc>
      </w:tr>
      <w:tr w:rsidR="003F226F"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3F226F" w:rsidRDefault="003F226F" w:rsidP="00C81E06">
            <w:pPr>
              <w:jc w:val="right"/>
              <w:rPr>
                <w:color w:val="auto"/>
                <w:sz w:val="14"/>
                <w:szCs w:val="16"/>
              </w:rPr>
            </w:pPr>
            <w:r w:rsidRPr="00B34F49">
              <w:rPr>
                <w:color w:val="auto"/>
                <w:sz w:val="14"/>
                <w:szCs w:val="16"/>
              </w:rPr>
              <w:t>Source: Off-Site Supervision &amp; Enforcement  Department SBP</w:t>
            </w:r>
          </w:p>
          <w:p w:rsidR="003F226F" w:rsidRPr="00B34F49" w:rsidRDefault="003F226F" w:rsidP="00C81E06">
            <w:pPr>
              <w:jc w:val="left"/>
              <w:rPr>
                <w:b/>
                <w:bCs/>
                <w:sz w:val="14"/>
                <w:szCs w:val="14"/>
              </w:rPr>
            </w:pPr>
            <w:r>
              <w:rPr>
                <w:color w:val="auto"/>
                <w:sz w:val="14"/>
                <w:szCs w:val="14"/>
              </w:rPr>
              <w:t>Note: Figures pertain to last week end of every month</w:t>
            </w:r>
          </w:p>
        </w:tc>
      </w:tr>
      <w:tr w:rsidR="003F226F"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3F226F" w:rsidRPr="00B34F49" w:rsidRDefault="003F226F" w:rsidP="00C81E06">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3F226F"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3F226F" w:rsidRPr="00B34F49" w:rsidRDefault="003F226F" w:rsidP="00C81E06">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3F226F" w:rsidRPr="00AB7A08" w:rsidRDefault="003F226F" w:rsidP="00C81E06">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3F226F" w:rsidRPr="00AB7A08" w:rsidRDefault="003F226F" w:rsidP="00C81E06">
            <w:pPr>
              <w:jc w:val="right"/>
              <w:rPr>
                <w:b/>
                <w:bCs/>
                <w:color w:val="auto"/>
                <w:szCs w:val="16"/>
              </w:rPr>
            </w:pPr>
            <w:r w:rsidRPr="00AB7A08">
              <w:rPr>
                <w:b/>
                <w:bCs/>
                <w:color w:val="auto"/>
                <w:szCs w:val="16"/>
              </w:rPr>
              <w:t>FY18</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F226F" w:rsidRPr="00AB7A08" w:rsidRDefault="003F226F" w:rsidP="00C81E06">
            <w:pPr>
              <w:jc w:val="right"/>
              <w:rPr>
                <w:b/>
                <w:bCs/>
                <w:color w:val="auto"/>
                <w:szCs w:val="16"/>
              </w:rPr>
            </w:pPr>
            <w:r>
              <w:rPr>
                <w:b/>
                <w:bCs/>
                <w:color w:val="auto"/>
                <w:szCs w:val="16"/>
              </w:rPr>
              <w:t>FY19</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F226F" w:rsidRPr="006619BF" w:rsidRDefault="003F226F" w:rsidP="00C81E06">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F226F" w:rsidRPr="006619BF" w:rsidRDefault="003F226F" w:rsidP="00C81E06">
            <w:pPr>
              <w:rPr>
                <w:b/>
                <w:bCs/>
                <w:color w:val="auto"/>
                <w:szCs w:val="16"/>
              </w:rPr>
            </w:pPr>
            <w:r>
              <w:rPr>
                <w:b/>
                <w:bCs/>
                <w:color w:val="auto"/>
                <w:szCs w:val="16"/>
              </w:rPr>
              <w:t>2020</w:t>
            </w:r>
          </w:p>
        </w:tc>
      </w:tr>
      <w:tr w:rsidR="003F226F"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3F226F" w:rsidRPr="00B34F49" w:rsidRDefault="003F226F" w:rsidP="00C81E06">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F226F" w:rsidRPr="006619BF" w:rsidRDefault="003F226F" w:rsidP="00C81E06">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F226F" w:rsidRPr="006619BF" w:rsidRDefault="003F226F" w:rsidP="00C81E06">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F226F" w:rsidRPr="006619BF" w:rsidRDefault="003F226F" w:rsidP="00C81E06">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F226F" w:rsidRPr="006619BF" w:rsidRDefault="003F226F" w:rsidP="00C81E06">
            <w:pPr>
              <w:jc w:val="right"/>
              <w:rPr>
                <w:b/>
                <w:color w:val="auto"/>
                <w:sz w:val="14"/>
                <w:szCs w:val="14"/>
              </w:rPr>
            </w:pPr>
            <w:r>
              <w:rPr>
                <w:b/>
                <w:color w:val="auto"/>
                <w:sz w:val="14"/>
                <w:szCs w:val="14"/>
              </w:rPr>
              <w:t>Apr</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F226F" w:rsidRPr="006619BF" w:rsidRDefault="003F226F" w:rsidP="00C81E06">
            <w:pPr>
              <w:jc w:val="right"/>
              <w:rPr>
                <w:b/>
                <w:color w:val="auto"/>
                <w:sz w:val="14"/>
                <w:szCs w:val="14"/>
              </w:rPr>
            </w:pPr>
            <w:r>
              <w:rPr>
                <w:b/>
                <w:color w:val="auto"/>
                <w:sz w:val="14"/>
                <w:szCs w:val="14"/>
              </w:rPr>
              <w:t>May</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F226F" w:rsidRPr="006619BF" w:rsidRDefault="003F226F" w:rsidP="00C81E06">
            <w:pPr>
              <w:jc w:val="right"/>
              <w:rPr>
                <w:b/>
                <w:color w:val="auto"/>
                <w:sz w:val="14"/>
                <w:szCs w:val="14"/>
              </w:rPr>
            </w:pPr>
            <w:r>
              <w:rPr>
                <w:b/>
                <w:color w:val="auto"/>
                <w:sz w:val="14"/>
                <w:szCs w:val="14"/>
              </w:rPr>
              <w:t>Feb</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3F226F" w:rsidRPr="006619BF" w:rsidRDefault="003F226F" w:rsidP="00C81E06">
            <w:pPr>
              <w:jc w:val="right"/>
              <w:rPr>
                <w:b/>
                <w:color w:val="auto"/>
                <w:sz w:val="14"/>
                <w:szCs w:val="14"/>
              </w:rPr>
            </w:pPr>
            <w:r>
              <w:rPr>
                <w:b/>
                <w:color w:val="auto"/>
                <w:sz w:val="14"/>
                <w:szCs w:val="14"/>
              </w:rPr>
              <w:t>Mar</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3F226F" w:rsidRPr="006619BF" w:rsidRDefault="003F226F" w:rsidP="00C81E06">
            <w:pPr>
              <w:jc w:val="right"/>
              <w:rPr>
                <w:b/>
                <w:color w:val="auto"/>
                <w:sz w:val="14"/>
                <w:szCs w:val="14"/>
              </w:rPr>
            </w:pPr>
            <w:r>
              <w:rPr>
                <w:b/>
                <w:color w:val="auto"/>
                <w:sz w:val="14"/>
                <w:szCs w:val="14"/>
              </w:rPr>
              <w:t>Apr</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3F226F" w:rsidRPr="006619BF" w:rsidRDefault="003F226F" w:rsidP="00C81E06">
            <w:pPr>
              <w:jc w:val="right"/>
              <w:rPr>
                <w:b/>
                <w:color w:val="auto"/>
                <w:sz w:val="14"/>
                <w:szCs w:val="14"/>
              </w:rPr>
            </w:pPr>
            <w:r>
              <w:rPr>
                <w:b/>
                <w:color w:val="auto"/>
                <w:sz w:val="14"/>
                <w:szCs w:val="14"/>
              </w:rPr>
              <w:t>May</w:t>
            </w:r>
          </w:p>
        </w:tc>
      </w:tr>
      <w:tr w:rsidR="003F226F" w:rsidRPr="00B34F49" w:rsidTr="003F226F">
        <w:trPr>
          <w:trHeight w:hRule="exact" w:val="327"/>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11,397,954</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12,928,902</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11,453,350</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11,987,140</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12,324,836</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12,657,760</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12,750,673</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13,378,344</w:t>
            </w:r>
          </w:p>
        </w:tc>
      </w:tr>
      <w:tr w:rsidR="003F226F" w:rsidRPr="00B34F49" w:rsidTr="003F226F">
        <w:trPr>
          <w:trHeight w:hRule="exact" w:val="324"/>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1,498,250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1,429,689</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1,447,093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1,417,031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1,816,824</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1,829,334</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1,831,004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1,827,414</w:t>
            </w:r>
          </w:p>
        </w:tc>
      </w:tr>
      <w:tr w:rsidR="003F226F" w:rsidRPr="00B34F49" w:rsidTr="003F226F">
        <w:trPr>
          <w:trHeight w:hRule="exact" w:val="360"/>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12,896,204</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14,358,591</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12,900,443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13,404,171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14,141,660</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14,487,094</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14,581,677</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15,205,758</w:t>
            </w:r>
          </w:p>
        </w:tc>
      </w:tr>
      <w:tr w:rsidR="003F226F" w:rsidRPr="00B34F49" w:rsidTr="003F226F">
        <w:trPr>
          <w:trHeight w:hRule="exact" w:val="360"/>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6,166,451</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7,213,730</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5,553,924</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6,206,381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b/>
                <w:bCs/>
                <w:sz w:val="14"/>
                <w:szCs w:val="14"/>
              </w:rPr>
            </w:pPr>
            <w:r>
              <w:rPr>
                <w:b/>
                <w:bCs/>
                <w:sz w:val="14"/>
                <w:szCs w:val="14"/>
              </w:rPr>
              <w:t>6,580,569</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7,129,003</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b/>
                <w:bCs/>
                <w:sz w:val="14"/>
                <w:szCs w:val="14"/>
              </w:rPr>
            </w:pPr>
            <w:r>
              <w:rPr>
                <w:b/>
                <w:bCs/>
                <w:sz w:val="14"/>
                <w:szCs w:val="14"/>
              </w:rPr>
              <w:t>7,679,431</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b/>
                <w:bCs/>
                <w:sz w:val="14"/>
                <w:szCs w:val="14"/>
              </w:rPr>
            </w:pPr>
            <w:r>
              <w:rPr>
                <w:b/>
                <w:bCs/>
                <w:sz w:val="14"/>
                <w:szCs w:val="14"/>
              </w:rPr>
              <w:t>8,030,344</w:t>
            </w:r>
          </w:p>
        </w:tc>
      </w:tr>
      <w:tr w:rsidR="003F226F" w:rsidRPr="00B34F49" w:rsidTr="003F226F">
        <w:trPr>
          <w:trHeight w:hRule="exact" w:val="270"/>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300,473</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414,380</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289,063</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434,474</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277,478</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327,707</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373,632</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439,719</w:t>
            </w:r>
          </w:p>
        </w:tc>
      </w:tr>
      <w:tr w:rsidR="003F226F" w:rsidRPr="00B34F49" w:rsidTr="003F226F">
        <w:trPr>
          <w:trHeight w:hRule="exact" w:val="270"/>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595,456</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986,670</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476,899</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596,294</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581,207</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612,602</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675,971</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573,972</w:t>
            </w:r>
          </w:p>
        </w:tc>
      </w:tr>
      <w:tr w:rsidR="003F226F" w:rsidRPr="00B34F49" w:rsidTr="003F226F">
        <w:trPr>
          <w:trHeight w:hRule="exact" w:val="315"/>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252,778</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278,359</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52,341</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143,081</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62,162</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52,743</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53,984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152,056</w:t>
            </w:r>
          </w:p>
        </w:tc>
      </w:tr>
      <w:tr w:rsidR="003F226F" w:rsidRPr="00B34F49" w:rsidTr="003F226F">
        <w:trPr>
          <w:trHeight w:hRule="exact" w:val="279"/>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4,986,751</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5,486,577</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4,691,607</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4,987,198</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5,616,504</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6,091,836</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6,530,594</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6,819,294</w:t>
            </w:r>
          </w:p>
        </w:tc>
      </w:tr>
      <w:tr w:rsidR="003F226F" w:rsidRPr="00B34F49" w:rsidTr="003F226F">
        <w:trPr>
          <w:trHeight w:hRule="exact" w:val="324"/>
          <w:jc w:val="center"/>
        </w:trPr>
        <w:tc>
          <w:tcPr>
            <w:tcW w:w="3420" w:type="dxa"/>
            <w:tcBorders>
              <w:top w:val="nil"/>
              <w:left w:val="nil"/>
              <w:bottom w:val="nil"/>
              <w:right w:val="nil"/>
            </w:tcBorders>
            <w:shd w:val="clear" w:color="auto" w:fill="auto"/>
            <w:vAlign w:val="center"/>
            <w:hideMark/>
          </w:tcPr>
          <w:p w:rsidR="003F226F" w:rsidRPr="007E3CF2" w:rsidRDefault="003F226F" w:rsidP="00C81E06">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30,963</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47,744</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44,014</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45,334</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43,218</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44,115</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45,248</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45,303</w:t>
            </w:r>
          </w:p>
        </w:tc>
      </w:tr>
      <w:tr w:rsidR="003F226F" w:rsidRPr="00B34F49" w:rsidTr="003F226F">
        <w:trPr>
          <w:trHeight w:hRule="exact" w:val="243"/>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w:t>
            </w:r>
          </w:p>
        </w:tc>
      </w:tr>
      <w:tr w:rsidR="003F226F" w:rsidRPr="00B34F49" w:rsidTr="003F226F">
        <w:trPr>
          <w:trHeight w:hRule="exact" w:val="315"/>
          <w:jc w:val="center"/>
        </w:trPr>
        <w:tc>
          <w:tcPr>
            <w:tcW w:w="3420" w:type="dxa"/>
            <w:tcBorders>
              <w:top w:val="nil"/>
              <w:left w:val="nil"/>
              <w:bottom w:val="nil"/>
              <w:right w:val="nil"/>
            </w:tcBorders>
            <w:shd w:val="clear" w:color="auto" w:fill="auto"/>
            <w:vAlign w:val="center"/>
            <w:hideMark/>
          </w:tcPr>
          <w:p w:rsidR="003F226F" w:rsidRPr="00B34F49" w:rsidRDefault="003F226F" w:rsidP="00C81E06">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2,646,420</w:t>
            </w:r>
          </w:p>
        </w:tc>
        <w:tc>
          <w:tcPr>
            <w:tcW w:w="778"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2,996,069</w:t>
            </w:r>
          </w:p>
        </w:tc>
        <w:tc>
          <w:tcPr>
            <w:tcW w:w="745" w:type="dxa"/>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2,653,659</w:t>
            </w:r>
          </w:p>
        </w:tc>
        <w:tc>
          <w:tcPr>
            <w:tcW w:w="71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2,777,977</w:t>
            </w:r>
          </w:p>
        </w:tc>
        <w:tc>
          <w:tcPr>
            <w:tcW w:w="724" w:type="dxa"/>
            <w:gridSpan w:val="2"/>
            <w:tcBorders>
              <w:top w:val="nil"/>
              <w:left w:val="nil"/>
              <w:bottom w:val="nil"/>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2,847,595</w:t>
            </w:r>
          </w:p>
        </w:tc>
        <w:tc>
          <w:tcPr>
            <w:tcW w:w="813"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2,923,639</w:t>
            </w:r>
          </w:p>
        </w:tc>
        <w:tc>
          <w:tcPr>
            <w:tcW w:w="809" w:type="dxa"/>
            <w:tcBorders>
              <w:top w:val="nil"/>
              <w:left w:val="nil"/>
              <w:bottom w:val="nil"/>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2,946,467</w:t>
            </w:r>
          </w:p>
        </w:tc>
        <w:tc>
          <w:tcPr>
            <w:tcW w:w="746" w:type="dxa"/>
            <w:tcBorders>
              <w:top w:val="nil"/>
              <w:left w:val="nil"/>
              <w:bottom w:val="nil"/>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3,094,154</w:t>
            </w:r>
          </w:p>
        </w:tc>
      </w:tr>
      <w:tr w:rsidR="003F226F" w:rsidRPr="00B34F49" w:rsidTr="003F226F">
        <w:trPr>
          <w:trHeight w:hRule="exact" w:val="405"/>
          <w:jc w:val="center"/>
        </w:trPr>
        <w:tc>
          <w:tcPr>
            <w:tcW w:w="3420" w:type="dxa"/>
            <w:tcBorders>
              <w:top w:val="nil"/>
              <w:left w:val="nil"/>
              <w:bottom w:val="single" w:sz="12" w:space="0" w:color="auto"/>
              <w:right w:val="nil"/>
            </w:tcBorders>
            <w:shd w:val="clear" w:color="auto" w:fill="auto"/>
            <w:vAlign w:val="center"/>
            <w:hideMark/>
          </w:tcPr>
          <w:p w:rsidR="003F226F" w:rsidRPr="00B34F49" w:rsidRDefault="003F226F" w:rsidP="00C81E06">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3,520,031</w:t>
            </w:r>
          </w:p>
        </w:tc>
        <w:tc>
          <w:tcPr>
            <w:tcW w:w="778"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4,217,661</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2,900,266</w:t>
            </w:r>
          </w:p>
        </w:tc>
        <w:tc>
          <w:tcPr>
            <w:tcW w:w="716"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3,428,404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3F226F" w:rsidRDefault="003F226F" w:rsidP="00C81E06">
            <w:pPr>
              <w:jc w:val="right"/>
              <w:rPr>
                <w:sz w:val="14"/>
                <w:szCs w:val="14"/>
              </w:rPr>
            </w:pPr>
            <w:r>
              <w:rPr>
                <w:sz w:val="14"/>
                <w:szCs w:val="14"/>
              </w:rPr>
              <w:t>3,732,974</w:t>
            </w:r>
          </w:p>
        </w:tc>
        <w:tc>
          <w:tcPr>
            <w:tcW w:w="813"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4,205,364</w:t>
            </w:r>
          </w:p>
        </w:tc>
        <w:tc>
          <w:tcPr>
            <w:tcW w:w="809"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C81E06">
            <w:pPr>
              <w:jc w:val="right"/>
              <w:rPr>
                <w:sz w:val="14"/>
                <w:szCs w:val="14"/>
              </w:rPr>
            </w:pPr>
            <w:r>
              <w:rPr>
                <w:sz w:val="14"/>
                <w:szCs w:val="14"/>
              </w:rPr>
              <w:t>4,732,963</w:t>
            </w:r>
          </w:p>
        </w:tc>
        <w:tc>
          <w:tcPr>
            <w:tcW w:w="746" w:type="dxa"/>
            <w:tcBorders>
              <w:top w:val="nil"/>
              <w:left w:val="nil"/>
              <w:bottom w:val="single" w:sz="12" w:space="0" w:color="auto"/>
              <w:right w:val="nil"/>
            </w:tcBorders>
            <w:shd w:val="clear" w:color="auto" w:fill="auto"/>
            <w:tcMar>
              <w:left w:w="43" w:type="dxa"/>
              <w:right w:w="43" w:type="dxa"/>
            </w:tcMar>
            <w:vAlign w:val="center"/>
          </w:tcPr>
          <w:p w:rsidR="003F226F" w:rsidRDefault="003F226F" w:rsidP="003F226F">
            <w:pPr>
              <w:jc w:val="right"/>
              <w:rPr>
                <w:sz w:val="14"/>
                <w:szCs w:val="14"/>
              </w:rPr>
            </w:pPr>
            <w:r>
              <w:rPr>
                <w:sz w:val="14"/>
                <w:szCs w:val="14"/>
              </w:rPr>
              <w:t>4,936,190</w:t>
            </w:r>
          </w:p>
        </w:tc>
      </w:tr>
      <w:tr w:rsidR="003F226F"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3F226F" w:rsidRPr="00B34F49" w:rsidRDefault="003F226F" w:rsidP="00C81E06">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3F226F" w:rsidRPr="00B34F49" w:rsidRDefault="003F226F" w:rsidP="00C81E06">
            <w:pPr>
              <w:jc w:val="right"/>
              <w:rPr>
                <w:color w:val="auto"/>
                <w:sz w:val="14"/>
                <w:szCs w:val="14"/>
              </w:rPr>
            </w:pPr>
            <w:r w:rsidRPr="00B34F49">
              <w:rPr>
                <w:color w:val="auto"/>
                <w:sz w:val="14"/>
                <w:szCs w:val="16"/>
              </w:rPr>
              <w:t xml:space="preserve">Source: Off-Site Supervision &amp; Enforcement  Department SBP </w:t>
            </w:r>
          </w:p>
        </w:tc>
      </w:tr>
      <w:tr w:rsidR="003F226F"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3F226F" w:rsidRPr="00B34F49" w:rsidRDefault="003F226F" w:rsidP="00C81E06">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 xml:space="preserve">DFIs also </w:t>
            </w:r>
            <w:proofErr w:type="gramStart"/>
            <w:r w:rsidRPr="000010D1">
              <w:rPr>
                <w:color w:val="auto"/>
                <w:sz w:val="12"/>
                <w:szCs w:val="16"/>
              </w:rPr>
              <w:t>includes</w:t>
            </w:r>
            <w:proofErr w:type="gramEnd"/>
            <w:r w:rsidRPr="000010D1">
              <w:rPr>
                <w:color w:val="auto"/>
                <w:sz w:val="12"/>
                <w:szCs w:val="16"/>
              </w:rPr>
              <w:t xml:space="preserve">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 xml:space="preserve">NBFCs  </w:t>
            </w:r>
            <w:proofErr w:type="spellStart"/>
            <w:r w:rsidRPr="00D5469A">
              <w:rPr>
                <w:color w:val="auto"/>
                <w:sz w:val="12"/>
                <w:szCs w:val="16"/>
              </w:rPr>
              <w:t>Non Bank</w:t>
            </w:r>
            <w:proofErr w:type="spellEnd"/>
            <w:r w:rsidRPr="00D5469A">
              <w:rPr>
                <w:color w:val="auto"/>
                <w:sz w:val="12"/>
                <w:szCs w:val="16"/>
              </w:rPr>
              <w:t xml:space="preserve">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w:t>
            </w:r>
            <w:proofErr w:type="gramStart"/>
            <w:r w:rsidRPr="002C409E">
              <w:rPr>
                <w:color w:val="auto"/>
                <w:sz w:val="12"/>
                <w:szCs w:val="16"/>
              </w:rPr>
              <w:t>NBFCs ,</w:t>
            </w:r>
            <w:proofErr w:type="gramEnd"/>
            <w:r w:rsidRPr="002C409E">
              <w:rPr>
                <w:color w:val="auto"/>
                <w:sz w:val="12"/>
                <w:szCs w:val="16"/>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NBFCs, PMRCL and HBFC.</w:t>
            </w:r>
          </w:p>
        </w:tc>
      </w:tr>
    </w:tbl>
    <w:p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EB" w:rsidRDefault="00C07FEB">
      <w:r>
        <w:separator/>
      </w:r>
    </w:p>
  </w:endnote>
  <w:endnote w:type="continuationSeparator" w:id="0">
    <w:p w:rsidR="00C07FEB" w:rsidRDefault="00C0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B6" w:rsidRDefault="00385B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85BB6" w:rsidRDefault="00385BB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B6" w:rsidRPr="008961D3" w:rsidRDefault="00385BB6"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866F31">
      <w:rPr>
        <w:noProof/>
        <w:sz w:val="20"/>
      </w:rPr>
      <w:t>10</w:t>
    </w:r>
    <w:r w:rsidRPr="008961D3">
      <w:rPr>
        <w:sz w:val="20"/>
      </w:rPr>
      <w:fldChar w:fldCharType="end"/>
    </w:r>
  </w:p>
  <w:p w:rsidR="00385BB6" w:rsidRPr="008961D3" w:rsidRDefault="00385BB6">
    <w:pPr>
      <w:pStyle w:val="Footer"/>
      <w:ind w:firstLine="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EB" w:rsidRDefault="00C07FEB">
      <w:r>
        <w:separator/>
      </w:r>
    </w:p>
  </w:footnote>
  <w:footnote w:type="continuationSeparator" w:id="0">
    <w:p w:rsidR="00C07FEB" w:rsidRDefault="00C0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46"/>
    <w:rsid w:val="00046E5D"/>
    <w:rsid w:val="00046FD7"/>
    <w:rsid w:val="000476B1"/>
    <w:rsid w:val="000479D6"/>
    <w:rsid w:val="00047D84"/>
    <w:rsid w:val="00047F31"/>
    <w:rsid w:val="00050376"/>
    <w:rsid w:val="00050A7F"/>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78F"/>
    <w:rsid w:val="00C8097C"/>
    <w:rsid w:val="00C809C3"/>
    <w:rsid w:val="00C80AF9"/>
    <w:rsid w:val="00C80F52"/>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departments/stats/ntb.htm" TargetMode="External"/><Relationship Id="rId18" Type="http://schemas.openxmlformats.org/officeDocument/2006/relationships/hyperlink" Target="http://www.sbp.org.pk/departments/stats/Expalanatory-Not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bp.org.pk/ecodata/AnaAccDepArch.xls"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_Monetary_Stat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bp.org.pk/ecodata/Revision_Monetary_Stats.pdf"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microsoft.com/office/2007/relationships/stylesWithEffects" Target="stylesWithEffects.xml"/><Relationship Id="rId9" Type="http://schemas.openxmlformats.org/officeDocument/2006/relationships/hyperlink" Target="http://www.sbp.org.pk/departments/Guidelines.htm" TargetMode="External"/><Relationship Id="rId14"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614C-6E94-4819-BB12-F8C1FBE7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14</Pages>
  <Words>8673</Words>
  <Characters>49440</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57998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Kiani</cp:lastModifiedBy>
  <cp:revision>507</cp:revision>
  <cp:lastPrinted>2020-06-08T05:25:00Z</cp:lastPrinted>
  <dcterms:created xsi:type="dcterms:W3CDTF">2017-08-23T10:08:00Z</dcterms:created>
  <dcterms:modified xsi:type="dcterms:W3CDTF">2020-08-07T01:22:00Z</dcterms:modified>
</cp:coreProperties>
</file>