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firstRow="1" w:lastRow="0" w:firstColumn="1" w:lastColumn="0" w:noHBand="0" w:noVBand="1"/>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CF3B76" w:rsidRPr="00FA2FBA" w:rsidTr="00BB085A">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CF3B76" w:rsidRPr="00FA2FBA" w:rsidRDefault="00CF3B76" w:rsidP="00CF3B76">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CF3B76" w:rsidRPr="00FA2FBA" w:rsidRDefault="00CF3B76" w:rsidP="00CF3B76">
            <w:pPr>
              <w:rPr>
                <w:b/>
                <w:bCs/>
                <w:color w:val="auto"/>
                <w:szCs w:val="16"/>
              </w:rPr>
            </w:pPr>
            <w:r w:rsidRPr="00B4080E">
              <w:rPr>
                <w:b/>
                <w:bCs/>
                <w:color w:val="auto"/>
                <w:szCs w:val="16"/>
              </w:rPr>
              <w:t>FY17</w:t>
            </w:r>
          </w:p>
        </w:tc>
        <w:tc>
          <w:tcPr>
            <w:tcW w:w="720" w:type="dxa"/>
            <w:vMerge w:val="restart"/>
            <w:tcBorders>
              <w:top w:val="single" w:sz="12" w:space="0" w:color="auto"/>
              <w:left w:val="single" w:sz="4" w:space="0" w:color="auto"/>
            </w:tcBorders>
            <w:shd w:val="clear" w:color="auto" w:fill="auto"/>
            <w:vAlign w:val="center"/>
          </w:tcPr>
          <w:p w:rsidR="00CF3B76" w:rsidRPr="002D5FD9" w:rsidRDefault="00CF3B76" w:rsidP="00CF3B76">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CF3B76" w:rsidRPr="002D5FD9" w:rsidRDefault="00CF3B76" w:rsidP="00A250BE">
            <w:pPr>
              <w:jc w:val="right"/>
              <w:rPr>
                <w:b/>
                <w:bCs/>
                <w:szCs w:val="16"/>
              </w:rPr>
            </w:pPr>
            <w:r>
              <w:rPr>
                <w:b/>
                <w:bCs/>
                <w:szCs w:val="16"/>
              </w:rPr>
              <w:t>FY19</w:t>
            </w:r>
          </w:p>
        </w:tc>
        <w:tc>
          <w:tcPr>
            <w:tcW w:w="1530" w:type="dxa"/>
            <w:gridSpan w:val="2"/>
            <w:tcBorders>
              <w:top w:val="single" w:sz="12" w:space="0" w:color="auto"/>
              <w:left w:val="single" w:sz="4" w:space="0" w:color="auto"/>
              <w:bottom w:val="single" w:sz="4" w:space="0" w:color="auto"/>
            </w:tcBorders>
            <w:shd w:val="clear" w:color="auto" w:fill="auto"/>
            <w:vAlign w:val="center"/>
          </w:tcPr>
          <w:p w:rsidR="00CF3B76" w:rsidRPr="00FA2FBA" w:rsidRDefault="00CF3B76" w:rsidP="00CF3B76">
            <w:pPr>
              <w:rPr>
                <w:b/>
                <w:bCs/>
                <w:color w:val="auto"/>
                <w:szCs w:val="16"/>
              </w:rPr>
            </w:pPr>
            <w:r>
              <w:rPr>
                <w:b/>
                <w:bCs/>
                <w:color w:val="auto"/>
                <w:szCs w:val="16"/>
              </w:rPr>
              <w:t>2018</w:t>
            </w:r>
          </w:p>
        </w:tc>
        <w:tc>
          <w:tcPr>
            <w:tcW w:w="2970" w:type="dxa"/>
            <w:gridSpan w:val="4"/>
            <w:tcBorders>
              <w:top w:val="single" w:sz="12" w:space="0" w:color="auto"/>
              <w:left w:val="single" w:sz="4" w:space="0" w:color="auto"/>
              <w:bottom w:val="single" w:sz="4" w:space="0" w:color="auto"/>
            </w:tcBorders>
            <w:shd w:val="clear" w:color="auto" w:fill="auto"/>
            <w:vAlign w:val="center"/>
          </w:tcPr>
          <w:p w:rsidR="00CF3B76" w:rsidRPr="00FA2FBA" w:rsidRDefault="00CF3B76" w:rsidP="00CF3B76">
            <w:pPr>
              <w:rPr>
                <w:b/>
                <w:bCs/>
                <w:color w:val="auto"/>
                <w:szCs w:val="16"/>
              </w:rPr>
            </w:pPr>
            <w:r>
              <w:rPr>
                <w:b/>
                <w:bCs/>
                <w:color w:val="auto"/>
                <w:szCs w:val="16"/>
              </w:rPr>
              <w:t>2019</w:t>
            </w:r>
          </w:p>
        </w:tc>
      </w:tr>
      <w:tr w:rsidR="001C0E67" w:rsidRPr="00FA2FBA" w:rsidTr="001734D6">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1C0E67" w:rsidRPr="00FA2FBA" w:rsidRDefault="001C0E67" w:rsidP="001C0E67">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C0E67" w:rsidRPr="006619BF" w:rsidRDefault="001C0E67" w:rsidP="001C0E67">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C0E67" w:rsidRPr="006619BF" w:rsidRDefault="001C0E67" w:rsidP="001C0E67">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C0E67" w:rsidRPr="006619BF" w:rsidRDefault="001C0E67" w:rsidP="001C0E67">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0E67" w:rsidRPr="006619BF" w:rsidRDefault="001C0E67" w:rsidP="001C0E67">
            <w:pPr>
              <w:jc w:val="right"/>
              <w:rPr>
                <w:b/>
                <w:color w:val="auto"/>
                <w:sz w:val="14"/>
                <w:szCs w:val="14"/>
              </w:rPr>
            </w:pPr>
            <w:r>
              <w:rPr>
                <w:b/>
                <w:color w:val="auto"/>
                <w:sz w:val="14"/>
                <w:szCs w:val="14"/>
              </w:rPr>
              <w:t>Jul</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C0E67" w:rsidRPr="006619BF" w:rsidRDefault="001C0E67" w:rsidP="001C0E67">
            <w:pPr>
              <w:jc w:val="right"/>
              <w:rPr>
                <w:b/>
                <w:color w:val="auto"/>
                <w:sz w:val="14"/>
                <w:szCs w:val="14"/>
              </w:rPr>
            </w:pPr>
            <w:r>
              <w:rPr>
                <w:b/>
                <w:color w:val="auto"/>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0E67" w:rsidRPr="006619BF" w:rsidRDefault="001C0E67" w:rsidP="001C0E67">
            <w:pPr>
              <w:jc w:val="right"/>
              <w:rPr>
                <w:b/>
                <w:color w:val="auto"/>
                <w:sz w:val="14"/>
                <w:szCs w:val="14"/>
              </w:rPr>
            </w:pPr>
            <w:r>
              <w:rPr>
                <w:b/>
                <w:color w:val="auto"/>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1C0E67" w:rsidRPr="006619BF" w:rsidRDefault="001C0E67" w:rsidP="001C0E67">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1C0E67" w:rsidRPr="006619BF" w:rsidRDefault="001C0E67" w:rsidP="001C0E67">
            <w:pPr>
              <w:jc w:val="right"/>
              <w:rPr>
                <w:b/>
                <w:color w:val="auto"/>
                <w:sz w:val="14"/>
                <w:szCs w:val="14"/>
              </w:rPr>
            </w:pPr>
            <w:r>
              <w:rPr>
                <w:b/>
                <w:color w:val="auto"/>
                <w:sz w:val="14"/>
                <w:szCs w:val="14"/>
              </w:rPr>
              <w:t>Jul</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1C0E67" w:rsidRPr="006619BF" w:rsidRDefault="001C0E67" w:rsidP="001C0E67">
            <w:pPr>
              <w:jc w:val="right"/>
              <w:rPr>
                <w:b/>
                <w:color w:val="auto"/>
                <w:sz w:val="14"/>
                <w:szCs w:val="14"/>
              </w:rPr>
            </w:pPr>
            <w:r>
              <w:rPr>
                <w:b/>
                <w:color w:val="auto"/>
                <w:sz w:val="14"/>
                <w:szCs w:val="14"/>
              </w:rPr>
              <w:t xml:space="preserve">Aug </w:t>
            </w:r>
            <w:r w:rsidRPr="001C0E67">
              <w:rPr>
                <w:b/>
                <w:color w:val="auto"/>
                <w:sz w:val="14"/>
                <w:szCs w:val="14"/>
                <w:vertAlign w:val="superscript"/>
              </w:rPr>
              <w:t>P</w:t>
            </w:r>
          </w:p>
        </w:tc>
      </w:tr>
      <w:tr w:rsidR="00511380" w:rsidRPr="00FA2FBA" w:rsidTr="001734D6">
        <w:trPr>
          <w:trHeight w:val="312"/>
        </w:trPr>
        <w:tc>
          <w:tcPr>
            <w:tcW w:w="3912" w:type="dxa"/>
            <w:tcBorders>
              <w:top w:val="nil"/>
              <w:left w:val="nil"/>
              <w:bottom w:val="nil"/>
              <w:right w:val="nil"/>
            </w:tcBorders>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(654,536)</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511380" w:rsidRDefault="00511380" w:rsidP="00511380">
            <w:pPr>
              <w:jc w:val="right"/>
              <w:rPr>
                <w:b/>
                <w:bCs/>
                <w:sz w:val="14"/>
                <w:szCs w:val="14"/>
              </w:rPr>
            </w:pPr>
            <w:r>
              <w:rPr>
                <w:b/>
                <w:bCs/>
                <w:sz w:val="14"/>
                <w:szCs w:val="14"/>
              </w:rPr>
              <w:t>409,003</w:t>
            </w:r>
          </w:p>
        </w:tc>
        <w:tc>
          <w:tcPr>
            <w:tcW w:w="720" w:type="dxa"/>
            <w:tcBorders>
              <w:top w:val="single" w:sz="12" w:space="0" w:color="auto"/>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390,970</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(493,989)</w:t>
            </w:r>
          </w:p>
        </w:tc>
        <w:tc>
          <w:tcPr>
            <w:tcW w:w="720" w:type="dxa"/>
            <w:tcBorders>
              <w:top w:val="single" w:sz="12" w:space="0" w:color="auto"/>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(654,536)</w:t>
            </w:r>
          </w:p>
        </w:tc>
        <w:tc>
          <w:tcPr>
            <w:tcW w:w="720" w:type="dxa"/>
            <w:tcBorders>
              <w:top w:val="single" w:sz="12" w:space="0" w:color="auto"/>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(529,709)</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(394,627)</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2,430,341</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b/>
                <w:bCs/>
                <w:sz w:val="14"/>
                <w:szCs w:val="14"/>
              </w:rPr>
            </w:pPr>
            <w:r>
              <w:rPr>
                <w:b/>
                <w:bCs/>
                <w:sz w:val="14"/>
                <w:szCs w:val="14"/>
              </w:rPr>
              <w:t>2,149,628</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2,126,776</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2,263,020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2,430,341</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2,534,213</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2,591,581</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468,625</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314,990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310,357</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398,130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473,448</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498,191</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55,564</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60,530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56,015</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50,029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52,602</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45,644</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78,271</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17,311</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46,732</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54,577</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93,555</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94,402</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1,190,375</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1,055,945</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999,820</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1,087,359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1,190,375</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1,186,980</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1,198,677</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164,366</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339,721</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353,651</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250,689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164,366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255,570</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298,456</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3,627</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2,011</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469,513</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361,132</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360,200</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422,236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469,513</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470,047</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456,211</w:t>
            </w:r>
          </w:p>
        </w:tc>
      </w:tr>
      <w:tr w:rsidR="00511380" w:rsidRPr="006764F7"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i/>
                <w:iCs/>
                <w:sz w:val="14"/>
                <w:szCs w:val="14"/>
              </w:rPr>
            </w:pPr>
            <w:r>
              <w:rPr>
                <w:i/>
                <w:iCs/>
                <w:sz w:val="14"/>
                <w:szCs w:val="14"/>
              </w:rPr>
              <w:t>460,388</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i/>
                <w:iCs/>
                <w:sz w:val="14"/>
                <w:szCs w:val="14"/>
              </w:rPr>
            </w:pPr>
            <w:r>
              <w:rPr>
                <w:i/>
                <w:iCs/>
                <w:sz w:val="14"/>
                <w:szCs w:val="14"/>
              </w:rPr>
              <w:t>354,489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i/>
                <w:iCs/>
                <w:sz w:val="14"/>
                <w:szCs w:val="14"/>
              </w:rPr>
            </w:pPr>
            <w:r>
              <w:rPr>
                <w:i/>
                <w:iCs/>
                <w:sz w:val="14"/>
                <w:szCs w:val="14"/>
              </w:rPr>
              <w:t>353,631</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i/>
                <w:iCs/>
                <w:sz w:val="14"/>
                <w:szCs w:val="14"/>
              </w:rPr>
            </w:pPr>
            <w:r>
              <w:rPr>
                <w:i/>
                <w:iCs/>
                <w:sz w:val="14"/>
                <w:szCs w:val="14"/>
              </w:rPr>
              <w:t>414,249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i/>
                <w:iCs/>
                <w:sz w:val="14"/>
                <w:szCs w:val="14"/>
              </w:rPr>
            </w:pPr>
            <w:r>
              <w:rPr>
                <w:i/>
                <w:iCs/>
                <w:sz w:val="14"/>
                <w:szCs w:val="14"/>
              </w:rPr>
              <w:t>460,388</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i/>
                <w:iCs/>
                <w:sz w:val="14"/>
                <w:szCs w:val="14"/>
              </w:rPr>
            </w:pPr>
            <w:r>
              <w:rPr>
                <w:i/>
                <w:iCs/>
                <w:sz w:val="14"/>
                <w:szCs w:val="14"/>
              </w:rPr>
              <w:t>446,152</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3,084,877</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b/>
                <w:bCs/>
                <w:sz w:val="14"/>
                <w:szCs w:val="14"/>
              </w:rPr>
            </w:pPr>
            <w:r>
              <w:rPr>
                <w:b/>
                <w:bCs/>
                <w:sz w:val="14"/>
                <w:szCs w:val="14"/>
              </w:rPr>
              <w:t>1,740,626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1,735,806</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2,757,009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3,063,922</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2,986,209</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1,005,011</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88,676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88,375</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852,882</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1,002,019</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986,705</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1,384,929</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1,110,745</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1,108,059</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1,261,283</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1,375,244</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1,332,059</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EB2509"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469,398</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368,788</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367,157</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439,809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468,655</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454,440</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225,539</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172,416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172,215</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203,036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218,005</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213,004</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1,493,127</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b/>
                <w:bCs/>
                <w:sz w:val="14"/>
                <w:szCs w:val="14"/>
              </w:rPr>
            </w:pPr>
            <w:r>
              <w:rPr>
                <w:b/>
                <w:bCs/>
                <w:sz w:val="14"/>
                <w:szCs w:val="14"/>
              </w:rPr>
              <w:t>1,956,050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1,092,320</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1,520,136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1,493,127</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2,525,013</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1,780,650</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6,669,389</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b/>
                <w:bCs/>
                <w:sz w:val="14"/>
                <w:szCs w:val="14"/>
              </w:rPr>
            </w:pPr>
            <w:r>
              <w:rPr>
                <w:b/>
                <w:bCs/>
                <w:sz w:val="14"/>
                <w:szCs w:val="14"/>
              </w:rPr>
              <w:t>3,682,000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4,683,535</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6,159,980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6,669,389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5,497,058</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6,236,410</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6,817,179</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b/>
                <w:bCs/>
                <w:sz w:val="14"/>
                <w:szCs w:val="14"/>
              </w:rPr>
            </w:pPr>
            <w:r>
              <w:rPr>
                <w:b/>
                <w:bCs/>
                <w:sz w:val="14"/>
                <w:szCs w:val="14"/>
              </w:rPr>
              <w:t>3,859,170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4,933,524</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6,425,290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6,817,179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5,718,769</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6,564,570</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7,803,455</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b/>
                <w:bCs/>
                <w:sz w:val="14"/>
                <w:szCs w:val="14"/>
              </w:rPr>
            </w:pPr>
            <w:r>
              <w:rPr>
                <w:b/>
                <w:bCs/>
                <w:sz w:val="14"/>
                <w:szCs w:val="14"/>
              </w:rPr>
              <w:t>3,918,463</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4,989,385</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7,281,279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7,803,455</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7,890,967</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7,973,434</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7,763,451</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3,876,779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4,947,449</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7,239,552</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7,763,451</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7,849,118</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7,930,845</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40,004</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41,684</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41,937</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41,728</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41,849</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42,589</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986,276</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b/>
                <w:bCs/>
                <w:sz w:val="14"/>
                <w:szCs w:val="14"/>
              </w:rPr>
            </w:pPr>
            <w:r>
              <w:rPr>
                <w:b/>
                <w:bCs/>
                <w:sz w:val="14"/>
                <w:szCs w:val="14"/>
              </w:rPr>
              <w:t>59,293</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55,861</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855,989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2,172,198</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1,408,865</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986,276</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59,293</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55,861</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855,989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2,172,198</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1,408,865</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(147,790)</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b/>
                <w:bCs/>
                <w:sz w:val="14"/>
                <w:szCs w:val="14"/>
              </w:rPr>
            </w:pPr>
            <w:r>
              <w:rPr>
                <w:b/>
                <w:bCs/>
                <w:sz w:val="14"/>
                <w:szCs w:val="14"/>
              </w:rPr>
              <w:t>(177,170)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(249,988)</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(265,310)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(221,711)</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(328,159)</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296</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b/>
                <w:bCs/>
                <w:sz w:val="14"/>
                <w:szCs w:val="14"/>
              </w:rPr>
            </w:pPr>
            <w:r>
              <w:rPr>
                <w:b/>
                <w:bCs/>
                <w:sz w:val="14"/>
                <w:szCs w:val="14"/>
              </w:rPr>
              <w:t>2,578</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1,129</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296</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296</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296</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2,578</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1,129</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296</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296</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148,086</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b/>
                <w:bCs/>
                <w:sz w:val="14"/>
                <w:szCs w:val="14"/>
              </w:rPr>
            </w:pPr>
            <w:r>
              <w:rPr>
                <w:b/>
                <w:bCs/>
                <w:sz w:val="14"/>
                <w:szCs w:val="14"/>
              </w:rPr>
              <w:t>179,748</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251,117</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265,606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148,086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222,007</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328,455</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148,086</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179,748</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251,117</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265,606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148,086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222,007</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328,455</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25,670</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b/>
                <w:bCs/>
                <w:sz w:val="14"/>
                <w:szCs w:val="14"/>
              </w:rPr>
            </w:pPr>
            <w:r>
              <w:rPr>
                <w:b/>
                <w:bCs/>
                <w:sz w:val="14"/>
                <w:szCs w:val="14"/>
              </w:rPr>
              <w:t>24,707</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25,306</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25,781</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25,670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25,416</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25,244</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3,933</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4,357</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4,361</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3,922</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3,933</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3,888</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3,898</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105</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61</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66</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102</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40</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43</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21,631</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20,289</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20,879</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21,758</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21,631</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21,489</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21,303</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6,533,695</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b/>
                <w:bCs/>
                <w:sz w:val="14"/>
                <w:szCs w:val="14"/>
              </w:rPr>
            </w:pPr>
            <w:r>
              <w:rPr>
                <w:b/>
                <w:bCs/>
                <w:sz w:val="14"/>
                <w:szCs w:val="14"/>
              </w:rPr>
              <w:t>5,395,001</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5,561,476</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6,286,070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6,447,392</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6,470,088</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5,285,026</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b/>
                <w:bCs/>
                <w:sz w:val="14"/>
                <w:szCs w:val="14"/>
              </w:rPr>
            </w:pPr>
            <w:r>
              <w:rPr>
                <w:b/>
                <w:bCs/>
                <w:sz w:val="14"/>
                <w:szCs w:val="14"/>
              </w:rPr>
              <w:t>4,619,555</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4,860,145</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5,412,362</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5,467,330</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5,584,912</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1,244,977</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b/>
                <w:bCs/>
                <w:sz w:val="14"/>
                <w:szCs w:val="14"/>
              </w:rPr>
            </w:pPr>
            <w:r>
              <w:rPr>
                <w:b/>
                <w:bCs/>
                <w:sz w:val="14"/>
                <w:szCs w:val="14"/>
              </w:rPr>
              <w:t>772,436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697,909</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869,810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1,244,977</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976,102</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880,920</w:t>
            </w:r>
          </w:p>
        </w:tc>
      </w:tr>
      <w:tr w:rsidR="00511380" w:rsidRPr="00FA2FBA" w:rsidTr="001734D6">
        <w:trPr>
          <w:trHeight w:val="266"/>
        </w:trPr>
        <w:tc>
          <w:tcPr>
            <w:tcW w:w="3912" w:type="dxa"/>
            <w:tcBorders>
              <w:top w:val="nil"/>
              <w:left w:val="nil"/>
              <w:bottom w:val="nil"/>
              <w:right w:val="nil"/>
            </w:tcBorders>
            <w:shd w:val="clear" w:color="auto" w:fill="auto"/>
            <w:noWrap/>
            <w:vAlign w:val="center"/>
            <w:hideMark/>
          </w:tcPr>
          <w:p w:rsidR="00511380" w:rsidRPr="00FA2FBA" w:rsidRDefault="00511380" w:rsidP="00511380">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1,244,977</w:t>
            </w:r>
          </w:p>
        </w:tc>
        <w:tc>
          <w:tcPr>
            <w:tcW w:w="810" w:type="dxa"/>
            <w:tcBorders>
              <w:top w:val="nil"/>
              <w:left w:val="nil"/>
              <w:bottom w:val="nil"/>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772,436</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697,909</w:t>
            </w:r>
          </w:p>
        </w:tc>
        <w:tc>
          <w:tcPr>
            <w:tcW w:w="720" w:type="dxa"/>
            <w:tcBorders>
              <w:top w:val="nil"/>
              <w:left w:val="nil"/>
              <w:bottom w:val="nil"/>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869,810</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1,244,977</w:t>
            </w:r>
          </w:p>
        </w:tc>
        <w:tc>
          <w:tcPr>
            <w:tcW w:w="720" w:type="dxa"/>
            <w:tcBorders>
              <w:top w:val="nil"/>
              <w:left w:val="nil"/>
              <w:bottom w:val="nil"/>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976,102</w:t>
            </w:r>
          </w:p>
        </w:tc>
        <w:tc>
          <w:tcPr>
            <w:tcW w:w="810" w:type="dxa"/>
            <w:tcBorders>
              <w:top w:val="nil"/>
              <w:left w:val="nil"/>
              <w:bottom w:val="nil"/>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880,920</w:t>
            </w:r>
          </w:p>
        </w:tc>
      </w:tr>
      <w:tr w:rsidR="00511380" w:rsidRPr="00FA2FBA" w:rsidTr="001734D6">
        <w:trPr>
          <w:trHeight w:val="266"/>
        </w:trPr>
        <w:tc>
          <w:tcPr>
            <w:tcW w:w="3912" w:type="dxa"/>
            <w:tcBorders>
              <w:top w:val="nil"/>
              <w:left w:val="nil"/>
              <w:bottom w:val="single" w:sz="12" w:space="0" w:color="auto"/>
              <w:right w:val="nil"/>
            </w:tcBorders>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511380" w:rsidRDefault="00511380" w:rsidP="00511380">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38" w:type="dxa"/>
        <w:tblLayout w:type="fixed"/>
        <w:tblLook w:val="04A0" w:firstRow="1" w:lastRow="0" w:firstColumn="1" w:lastColumn="0" w:noHBand="0" w:noVBand="1"/>
      </w:tblPr>
      <w:tblGrid>
        <w:gridCol w:w="4094"/>
        <w:gridCol w:w="650"/>
        <w:gridCol w:w="739"/>
        <w:gridCol w:w="815"/>
        <w:gridCol w:w="730"/>
        <w:gridCol w:w="725"/>
        <w:gridCol w:w="725"/>
        <w:gridCol w:w="715"/>
        <w:gridCol w:w="725"/>
        <w:gridCol w:w="720"/>
      </w:tblGrid>
      <w:tr w:rsidR="00DF368E" w:rsidRPr="00FA2FBA" w:rsidTr="00846691">
        <w:trPr>
          <w:trHeight w:val="360"/>
        </w:trPr>
        <w:tc>
          <w:tcPr>
            <w:tcW w:w="1063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846691">
        <w:trPr>
          <w:trHeight w:val="268"/>
        </w:trPr>
        <w:tc>
          <w:tcPr>
            <w:tcW w:w="1063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CF3B76" w:rsidRPr="00FA2FBA" w:rsidTr="001734D6">
        <w:trPr>
          <w:trHeight w:val="268"/>
        </w:trPr>
        <w:tc>
          <w:tcPr>
            <w:tcW w:w="4094" w:type="dxa"/>
            <w:vMerge w:val="restart"/>
            <w:tcBorders>
              <w:top w:val="single" w:sz="12" w:space="0" w:color="auto"/>
              <w:bottom w:val="single" w:sz="12" w:space="0" w:color="auto"/>
              <w:right w:val="single" w:sz="4" w:space="0" w:color="auto"/>
            </w:tcBorders>
            <w:shd w:val="clear" w:color="auto" w:fill="auto"/>
            <w:noWrap/>
            <w:vAlign w:val="center"/>
            <w:hideMark/>
          </w:tcPr>
          <w:p w:rsidR="00CF3B76" w:rsidRPr="00FA2FBA" w:rsidRDefault="00CF3B76" w:rsidP="00CF3B76">
            <w:pPr>
              <w:rPr>
                <w:b/>
                <w:bCs/>
                <w:color w:val="auto"/>
                <w:szCs w:val="16"/>
              </w:rPr>
            </w:pPr>
            <w:r w:rsidRPr="00FA2FBA">
              <w:rPr>
                <w:b/>
                <w:bCs/>
                <w:color w:val="auto"/>
                <w:szCs w:val="16"/>
              </w:rPr>
              <w:t>I T E M S</w:t>
            </w:r>
          </w:p>
        </w:tc>
        <w:tc>
          <w:tcPr>
            <w:tcW w:w="65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CF3B76" w:rsidRPr="00FA2FBA" w:rsidRDefault="00CF3B76" w:rsidP="00CF3B76">
            <w:pPr>
              <w:jc w:val="right"/>
              <w:rPr>
                <w:b/>
                <w:bCs/>
                <w:color w:val="auto"/>
                <w:szCs w:val="16"/>
              </w:rPr>
            </w:pPr>
            <w:r w:rsidRPr="00B4080E">
              <w:rPr>
                <w:b/>
                <w:bCs/>
                <w:color w:val="auto"/>
                <w:szCs w:val="16"/>
              </w:rPr>
              <w:t>FY17</w:t>
            </w:r>
          </w:p>
        </w:tc>
        <w:tc>
          <w:tcPr>
            <w:tcW w:w="739" w:type="dxa"/>
            <w:vMerge w:val="restart"/>
            <w:tcBorders>
              <w:top w:val="single" w:sz="12" w:space="0" w:color="auto"/>
              <w:left w:val="single" w:sz="4" w:space="0" w:color="auto"/>
            </w:tcBorders>
            <w:shd w:val="clear" w:color="auto" w:fill="auto"/>
            <w:tcMar>
              <w:left w:w="43" w:type="dxa"/>
              <w:right w:w="43" w:type="dxa"/>
            </w:tcMar>
            <w:vAlign w:val="center"/>
          </w:tcPr>
          <w:p w:rsidR="00CF3B76" w:rsidRPr="002D5FD9" w:rsidRDefault="00CF3B76" w:rsidP="00CF3B76">
            <w:pPr>
              <w:jc w:val="right"/>
              <w:rPr>
                <w:b/>
                <w:bCs/>
                <w:szCs w:val="16"/>
              </w:rPr>
            </w:pPr>
            <w:r>
              <w:rPr>
                <w:b/>
                <w:bCs/>
                <w:szCs w:val="16"/>
              </w:rPr>
              <w:t>FY18</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CF3B76" w:rsidRPr="002D5FD9" w:rsidRDefault="00CF3B76" w:rsidP="00A250BE">
            <w:pPr>
              <w:jc w:val="right"/>
              <w:rPr>
                <w:b/>
                <w:bCs/>
                <w:szCs w:val="16"/>
              </w:rPr>
            </w:pPr>
            <w:r>
              <w:rPr>
                <w:b/>
                <w:bCs/>
                <w:szCs w:val="16"/>
              </w:rPr>
              <w:t>FY19</w:t>
            </w:r>
          </w:p>
        </w:tc>
        <w:tc>
          <w:tcPr>
            <w:tcW w:w="1455" w:type="dxa"/>
            <w:gridSpan w:val="2"/>
            <w:tcBorders>
              <w:top w:val="single" w:sz="12" w:space="0" w:color="auto"/>
              <w:left w:val="single" w:sz="4" w:space="0" w:color="auto"/>
              <w:bottom w:val="single" w:sz="4" w:space="0" w:color="auto"/>
            </w:tcBorders>
            <w:shd w:val="clear" w:color="auto" w:fill="auto"/>
            <w:vAlign w:val="center"/>
          </w:tcPr>
          <w:p w:rsidR="00CF3B76" w:rsidRPr="00FA2FBA" w:rsidRDefault="00CF3B76" w:rsidP="00CF3B76">
            <w:pPr>
              <w:rPr>
                <w:b/>
                <w:bCs/>
                <w:color w:val="auto"/>
                <w:szCs w:val="16"/>
              </w:rPr>
            </w:pPr>
            <w:r>
              <w:rPr>
                <w:b/>
                <w:bCs/>
                <w:color w:val="auto"/>
                <w:szCs w:val="16"/>
              </w:rPr>
              <w:t>2018</w:t>
            </w:r>
          </w:p>
        </w:tc>
        <w:tc>
          <w:tcPr>
            <w:tcW w:w="2885" w:type="dxa"/>
            <w:gridSpan w:val="4"/>
            <w:tcBorders>
              <w:top w:val="single" w:sz="12" w:space="0" w:color="auto"/>
              <w:left w:val="single" w:sz="4" w:space="0" w:color="auto"/>
              <w:bottom w:val="single" w:sz="4" w:space="0" w:color="auto"/>
            </w:tcBorders>
            <w:shd w:val="clear" w:color="auto" w:fill="auto"/>
            <w:vAlign w:val="center"/>
          </w:tcPr>
          <w:p w:rsidR="00CF3B76" w:rsidRPr="00FA2FBA" w:rsidRDefault="00CF3B76" w:rsidP="00CF3B76">
            <w:pPr>
              <w:rPr>
                <w:b/>
                <w:bCs/>
                <w:color w:val="auto"/>
                <w:szCs w:val="16"/>
              </w:rPr>
            </w:pPr>
            <w:r>
              <w:rPr>
                <w:b/>
                <w:bCs/>
                <w:color w:val="auto"/>
                <w:szCs w:val="16"/>
              </w:rPr>
              <w:t>2019</w:t>
            </w:r>
          </w:p>
        </w:tc>
      </w:tr>
      <w:tr w:rsidR="001C0E67" w:rsidRPr="00FA2FBA" w:rsidTr="001734D6">
        <w:trPr>
          <w:trHeight w:val="268"/>
        </w:trPr>
        <w:tc>
          <w:tcPr>
            <w:tcW w:w="4094" w:type="dxa"/>
            <w:vMerge/>
            <w:tcBorders>
              <w:bottom w:val="single" w:sz="12" w:space="0" w:color="auto"/>
              <w:right w:val="single" w:sz="4" w:space="0" w:color="auto"/>
            </w:tcBorders>
            <w:shd w:val="clear" w:color="auto" w:fill="auto"/>
            <w:noWrap/>
            <w:vAlign w:val="center"/>
            <w:hideMark/>
          </w:tcPr>
          <w:p w:rsidR="001C0E67" w:rsidRPr="00FA2FBA" w:rsidRDefault="001C0E67" w:rsidP="001C0E67">
            <w:pPr>
              <w:jc w:val="left"/>
              <w:rPr>
                <w:b/>
                <w:bCs/>
                <w:color w:val="auto"/>
                <w:szCs w:val="16"/>
              </w:rPr>
            </w:pPr>
          </w:p>
        </w:tc>
        <w:tc>
          <w:tcPr>
            <w:tcW w:w="65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C0E67" w:rsidRPr="006619BF" w:rsidRDefault="001C0E67" w:rsidP="001C0E67">
            <w:pPr>
              <w:jc w:val="right"/>
              <w:rPr>
                <w:b/>
                <w:color w:val="auto"/>
                <w:sz w:val="14"/>
                <w:szCs w:val="14"/>
              </w:rPr>
            </w:pPr>
          </w:p>
        </w:tc>
        <w:tc>
          <w:tcPr>
            <w:tcW w:w="73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C0E67" w:rsidRPr="006619BF" w:rsidRDefault="001C0E67" w:rsidP="001C0E67">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C0E67" w:rsidRPr="006619BF" w:rsidRDefault="001C0E67" w:rsidP="001C0E67">
            <w:pPr>
              <w:jc w:val="right"/>
              <w:rPr>
                <w:b/>
                <w:color w:val="auto"/>
                <w:sz w:val="14"/>
                <w:szCs w:val="14"/>
              </w:rPr>
            </w:pPr>
          </w:p>
        </w:tc>
        <w:tc>
          <w:tcPr>
            <w:tcW w:w="7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0E67" w:rsidRPr="006619BF" w:rsidRDefault="001C0E67" w:rsidP="001C0E67">
            <w:pPr>
              <w:jc w:val="right"/>
              <w:rPr>
                <w:b/>
                <w:color w:val="auto"/>
                <w:sz w:val="14"/>
                <w:szCs w:val="14"/>
              </w:rPr>
            </w:pPr>
            <w:r>
              <w:rPr>
                <w:b/>
                <w:color w:val="auto"/>
                <w:sz w:val="14"/>
                <w:szCs w:val="14"/>
              </w:rPr>
              <w:t>Jul</w:t>
            </w:r>
          </w:p>
        </w:tc>
        <w:tc>
          <w:tcPr>
            <w:tcW w:w="725" w:type="dxa"/>
            <w:tcBorders>
              <w:bottom w:val="single" w:sz="12" w:space="0" w:color="auto"/>
              <w:right w:val="single" w:sz="4" w:space="0" w:color="auto"/>
            </w:tcBorders>
            <w:shd w:val="clear" w:color="auto" w:fill="auto"/>
            <w:tcMar>
              <w:left w:w="43" w:type="dxa"/>
              <w:right w:w="43" w:type="dxa"/>
            </w:tcMar>
            <w:vAlign w:val="center"/>
          </w:tcPr>
          <w:p w:rsidR="001C0E67" w:rsidRPr="006619BF" w:rsidRDefault="001C0E67" w:rsidP="001C0E67">
            <w:pPr>
              <w:jc w:val="right"/>
              <w:rPr>
                <w:b/>
                <w:color w:val="auto"/>
                <w:sz w:val="14"/>
                <w:szCs w:val="14"/>
              </w:rPr>
            </w:pPr>
            <w:r>
              <w:rPr>
                <w:b/>
                <w:color w:val="auto"/>
                <w:sz w:val="14"/>
                <w:szCs w:val="14"/>
              </w:rPr>
              <w:t>Aug</w:t>
            </w:r>
          </w:p>
        </w:tc>
        <w:tc>
          <w:tcPr>
            <w:tcW w:w="725" w:type="dxa"/>
            <w:tcBorders>
              <w:left w:val="single" w:sz="4" w:space="0" w:color="auto"/>
              <w:bottom w:val="single" w:sz="12" w:space="0" w:color="auto"/>
            </w:tcBorders>
            <w:shd w:val="clear" w:color="auto" w:fill="auto"/>
            <w:tcMar>
              <w:left w:w="43" w:type="dxa"/>
              <w:right w:w="43" w:type="dxa"/>
            </w:tcMar>
            <w:vAlign w:val="center"/>
            <w:hideMark/>
          </w:tcPr>
          <w:p w:rsidR="001C0E67" w:rsidRPr="006619BF" w:rsidRDefault="001C0E67" w:rsidP="001C0E67">
            <w:pPr>
              <w:jc w:val="right"/>
              <w:rPr>
                <w:b/>
                <w:color w:val="auto"/>
                <w:sz w:val="14"/>
                <w:szCs w:val="14"/>
              </w:rPr>
            </w:pPr>
            <w:r>
              <w:rPr>
                <w:b/>
                <w:color w:val="auto"/>
                <w:sz w:val="14"/>
                <w:szCs w:val="14"/>
              </w:rPr>
              <w:t>May</w:t>
            </w:r>
          </w:p>
        </w:tc>
        <w:tc>
          <w:tcPr>
            <w:tcW w:w="715" w:type="dxa"/>
            <w:tcBorders>
              <w:bottom w:val="single" w:sz="12" w:space="0" w:color="auto"/>
            </w:tcBorders>
            <w:shd w:val="clear" w:color="auto" w:fill="auto"/>
            <w:tcMar>
              <w:left w:w="43" w:type="dxa"/>
              <w:right w:w="43" w:type="dxa"/>
            </w:tcMar>
            <w:vAlign w:val="center"/>
          </w:tcPr>
          <w:p w:rsidR="001C0E67" w:rsidRPr="006619BF" w:rsidRDefault="001C0E67" w:rsidP="001C0E67">
            <w:pPr>
              <w:jc w:val="right"/>
              <w:rPr>
                <w:b/>
                <w:color w:val="auto"/>
                <w:sz w:val="14"/>
                <w:szCs w:val="14"/>
              </w:rPr>
            </w:pPr>
            <w:r>
              <w:rPr>
                <w:b/>
                <w:color w:val="auto"/>
                <w:sz w:val="14"/>
                <w:szCs w:val="14"/>
              </w:rPr>
              <w:t>Jun</w:t>
            </w:r>
          </w:p>
        </w:tc>
        <w:tc>
          <w:tcPr>
            <w:tcW w:w="725" w:type="dxa"/>
            <w:tcBorders>
              <w:bottom w:val="single" w:sz="12" w:space="0" w:color="auto"/>
            </w:tcBorders>
            <w:shd w:val="clear" w:color="auto" w:fill="auto"/>
            <w:tcMar>
              <w:left w:w="43" w:type="dxa"/>
              <w:right w:w="43" w:type="dxa"/>
            </w:tcMar>
            <w:vAlign w:val="center"/>
          </w:tcPr>
          <w:p w:rsidR="001C0E67" w:rsidRPr="006619BF" w:rsidRDefault="001C0E67" w:rsidP="001C0E67">
            <w:pPr>
              <w:jc w:val="right"/>
              <w:rPr>
                <w:b/>
                <w:color w:val="auto"/>
                <w:sz w:val="14"/>
                <w:szCs w:val="14"/>
              </w:rPr>
            </w:pPr>
            <w:r>
              <w:rPr>
                <w:b/>
                <w:color w:val="auto"/>
                <w:sz w:val="14"/>
                <w:szCs w:val="14"/>
              </w:rPr>
              <w:t>Jul</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1C0E67" w:rsidRPr="006619BF" w:rsidRDefault="001C0E67" w:rsidP="001C0E67">
            <w:pPr>
              <w:jc w:val="right"/>
              <w:rPr>
                <w:b/>
                <w:color w:val="auto"/>
                <w:sz w:val="14"/>
                <w:szCs w:val="14"/>
              </w:rPr>
            </w:pPr>
            <w:r>
              <w:rPr>
                <w:b/>
                <w:color w:val="auto"/>
                <w:sz w:val="14"/>
                <w:szCs w:val="14"/>
              </w:rPr>
              <w:t xml:space="preserve">Aug </w:t>
            </w:r>
            <w:r w:rsidRPr="001C0E67">
              <w:rPr>
                <w:b/>
                <w:color w:val="auto"/>
                <w:sz w:val="14"/>
                <w:szCs w:val="14"/>
                <w:vertAlign w:val="superscript"/>
              </w:rPr>
              <w:t>P</w:t>
            </w:r>
          </w:p>
        </w:tc>
      </w:tr>
      <w:tr w:rsidR="00511380" w:rsidRPr="00FA2FBA" w:rsidTr="001734D6">
        <w:trPr>
          <w:trHeight w:val="245"/>
        </w:trPr>
        <w:tc>
          <w:tcPr>
            <w:tcW w:w="4094" w:type="dxa"/>
            <w:tcBorders>
              <w:top w:val="single" w:sz="12" w:space="0" w:color="auto"/>
            </w:tcBorders>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3) Deposits included in broad money</w:t>
            </w:r>
          </w:p>
        </w:tc>
        <w:tc>
          <w:tcPr>
            <w:tcW w:w="650" w:type="dxa"/>
            <w:tcBorders>
              <w:top w:val="single" w:sz="12" w:space="0" w:color="auto"/>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3,444</w:t>
            </w:r>
          </w:p>
        </w:tc>
        <w:tc>
          <w:tcPr>
            <w:tcW w:w="739" w:type="dxa"/>
            <w:tcBorders>
              <w:top w:val="single" w:sz="12" w:space="0" w:color="auto"/>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2,793</w:t>
            </w:r>
          </w:p>
        </w:tc>
        <w:tc>
          <w:tcPr>
            <w:tcW w:w="815" w:type="dxa"/>
            <w:tcBorders>
              <w:top w:val="single" w:sz="12" w:space="0" w:color="auto"/>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3,692</w:t>
            </w:r>
          </w:p>
        </w:tc>
        <w:tc>
          <w:tcPr>
            <w:tcW w:w="730" w:type="dxa"/>
            <w:tcBorders>
              <w:top w:val="single" w:sz="12" w:space="0" w:color="auto"/>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3,010</w:t>
            </w:r>
          </w:p>
        </w:tc>
        <w:tc>
          <w:tcPr>
            <w:tcW w:w="725" w:type="dxa"/>
            <w:tcBorders>
              <w:top w:val="single" w:sz="12" w:space="0" w:color="auto"/>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3,421</w:t>
            </w:r>
          </w:p>
        </w:tc>
        <w:tc>
          <w:tcPr>
            <w:tcW w:w="725" w:type="dxa"/>
            <w:tcBorders>
              <w:top w:val="single" w:sz="12" w:space="0" w:color="auto"/>
            </w:tcBorders>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3,898</w:t>
            </w:r>
          </w:p>
        </w:tc>
        <w:tc>
          <w:tcPr>
            <w:tcW w:w="715" w:type="dxa"/>
            <w:tcBorders>
              <w:top w:val="single" w:sz="12" w:space="0" w:color="auto"/>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3,692</w:t>
            </w:r>
          </w:p>
        </w:tc>
        <w:tc>
          <w:tcPr>
            <w:tcW w:w="725" w:type="dxa"/>
            <w:tcBorders>
              <w:top w:val="single" w:sz="12" w:space="0" w:color="auto"/>
            </w:tcBorders>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3,960</w:t>
            </w:r>
          </w:p>
        </w:tc>
        <w:tc>
          <w:tcPr>
            <w:tcW w:w="720" w:type="dxa"/>
            <w:tcBorders>
              <w:top w:val="single" w:sz="12" w:space="0" w:color="auto"/>
            </w:tcBorders>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4,257</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Chars="156" w:firstLine="251"/>
              <w:jc w:val="left"/>
              <w:rPr>
                <w:b/>
                <w:bCs/>
                <w:color w:val="auto"/>
                <w:szCs w:val="16"/>
              </w:rPr>
            </w:pPr>
            <w:r w:rsidRPr="00FA2FBA">
              <w:rPr>
                <w:b/>
                <w:bCs/>
                <w:color w:val="auto"/>
                <w:szCs w:val="16"/>
              </w:rPr>
              <w:t>Transferable deposits</w:t>
            </w:r>
          </w:p>
        </w:tc>
        <w:tc>
          <w:tcPr>
            <w:tcW w:w="650"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1,499</w:t>
            </w:r>
          </w:p>
        </w:tc>
        <w:tc>
          <w:tcPr>
            <w:tcW w:w="739"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1,340</w:t>
            </w:r>
          </w:p>
        </w:tc>
        <w:tc>
          <w:tcPr>
            <w:tcW w:w="81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1,438</w:t>
            </w:r>
          </w:p>
        </w:tc>
        <w:tc>
          <w:tcPr>
            <w:tcW w:w="730"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1,344</w:t>
            </w:r>
          </w:p>
        </w:tc>
        <w:tc>
          <w:tcPr>
            <w:tcW w:w="72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1,346</w:t>
            </w:r>
          </w:p>
        </w:tc>
        <w:tc>
          <w:tcPr>
            <w:tcW w:w="725"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1,378</w:t>
            </w:r>
          </w:p>
        </w:tc>
        <w:tc>
          <w:tcPr>
            <w:tcW w:w="71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1,438</w:t>
            </w:r>
          </w:p>
        </w:tc>
        <w:tc>
          <w:tcPr>
            <w:tcW w:w="72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1,836</w:t>
            </w:r>
          </w:p>
        </w:tc>
        <w:tc>
          <w:tcPr>
            <w:tcW w:w="720" w:type="dxa"/>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1,433</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39"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63</w:t>
            </w:r>
          </w:p>
        </w:tc>
        <w:tc>
          <w:tcPr>
            <w:tcW w:w="73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5</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5</w:t>
            </w:r>
          </w:p>
        </w:tc>
        <w:tc>
          <w:tcPr>
            <w:tcW w:w="725"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3</w:t>
            </w:r>
          </w:p>
        </w:tc>
        <w:tc>
          <w:tcPr>
            <w:tcW w:w="7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63</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54</w:t>
            </w:r>
          </w:p>
        </w:tc>
        <w:tc>
          <w:tcPr>
            <w:tcW w:w="720" w:type="dxa"/>
            <w:shd w:val="clear" w:color="auto" w:fill="auto"/>
            <w:noWrap/>
            <w:tcMar>
              <w:left w:w="43" w:type="dxa"/>
              <w:right w:w="43" w:type="dxa"/>
            </w:tcMar>
            <w:vAlign w:val="center"/>
          </w:tcPr>
          <w:p w:rsidR="00511380" w:rsidRDefault="00511380" w:rsidP="00511380">
            <w:pPr>
              <w:jc w:val="right"/>
              <w:rPr>
                <w:sz w:val="14"/>
                <w:szCs w:val="14"/>
              </w:rPr>
            </w:pPr>
            <w:r>
              <w:rPr>
                <w:sz w:val="14"/>
                <w:szCs w:val="14"/>
              </w:rPr>
              <w:t>56</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342"/>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39"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3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shd w:val="clear" w:color="auto" w:fill="auto"/>
            <w:noWrap/>
            <w:tcMar>
              <w:left w:w="43" w:type="dxa"/>
              <w:right w:w="43" w:type="dxa"/>
            </w:tcMar>
            <w:vAlign w:val="center"/>
          </w:tcPr>
          <w:p w:rsidR="00511380" w:rsidRDefault="00511380" w:rsidP="00511380">
            <w:pPr>
              <w:jc w:val="right"/>
              <w:rPr>
                <w:sz w:val="14"/>
                <w:szCs w:val="14"/>
              </w:rPr>
            </w:pPr>
            <w:r>
              <w:rPr>
                <w:sz w:val="14"/>
                <w:szCs w:val="14"/>
              </w:rPr>
              <w:t>-</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112</w:t>
            </w:r>
          </w:p>
        </w:tc>
        <w:tc>
          <w:tcPr>
            <w:tcW w:w="739" w:type="dxa"/>
            <w:shd w:val="clear" w:color="auto" w:fill="auto"/>
            <w:tcMar>
              <w:left w:w="43" w:type="dxa"/>
              <w:right w:w="43" w:type="dxa"/>
            </w:tcMar>
            <w:vAlign w:val="center"/>
          </w:tcPr>
          <w:p w:rsidR="00511380" w:rsidRDefault="00511380" w:rsidP="00511380">
            <w:pPr>
              <w:jc w:val="right"/>
              <w:rPr>
                <w:sz w:val="14"/>
                <w:szCs w:val="14"/>
              </w:rPr>
            </w:pPr>
            <w:r>
              <w:rPr>
                <w:sz w:val="14"/>
                <w:szCs w:val="14"/>
              </w:rPr>
              <w:t>132</w:t>
            </w:r>
          </w:p>
        </w:tc>
        <w:tc>
          <w:tcPr>
            <w:tcW w:w="8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157</w:t>
            </w:r>
          </w:p>
        </w:tc>
        <w:tc>
          <w:tcPr>
            <w:tcW w:w="73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132</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142</w:t>
            </w:r>
          </w:p>
        </w:tc>
        <w:tc>
          <w:tcPr>
            <w:tcW w:w="725"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156</w:t>
            </w:r>
          </w:p>
        </w:tc>
        <w:tc>
          <w:tcPr>
            <w:tcW w:w="7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157</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554</w:t>
            </w:r>
          </w:p>
        </w:tc>
        <w:tc>
          <w:tcPr>
            <w:tcW w:w="720" w:type="dxa"/>
            <w:shd w:val="clear" w:color="auto" w:fill="auto"/>
            <w:noWrap/>
            <w:tcMar>
              <w:left w:w="43" w:type="dxa"/>
              <w:right w:w="43" w:type="dxa"/>
            </w:tcMar>
            <w:vAlign w:val="center"/>
          </w:tcPr>
          <w:p w:rsidR="00511380" w:rsidRDefault="00511380" w:rsidP="00511380">
            <w:pPr>
              <w:jc w:val="right"/>
              <w:rPr>
                <w:sz w:val="14"/>
                <w:szCs w:val="14"/>
              </w:rPr>
            </w:pPr>
            <w:r>
              <w:rPr>
                <w:sz w:val="14"/>
                <w:szCs w:val="14"/>
              </w:rPr>
              <w:t>157</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1,387</w:t>
            </w:r>
          </w:p>
        </w:tc>
        <w:tc>
          <w:tcPr>
            <w:tcW w:w="739" w:type="dxa"/>
            <w:shd w:val="clear" w:color="auto" w:fill="auto"/>
            <w:tcMar>
              <w:left w:w="43" w:type="dxa"/>
              <w:right w:w="43" w:type="dxa"/>
            </w:tcMar>
            <w:vAlign w:val="center"/>
          </w:tcPr>
          <w:p w:rsidR="00511380" w:rsidRDefault="00511380" w:rsidP="00511380">
            <w:pPr>
              <w:jc w:val="right"/>
              <w:rPr>
                <w:sz w:val="14"/>
                <w:szCs w:val="14"/>
              </w:rPr>
            </w:pPr>
            <w:r>
              <w:rPr>
                <w:sz w:val="14"/>
                <w:szCs w:val="14"/>
              </w:rPr>
              <w:t>1,208</w:t>
            </w:r>
          </w:p>
        </w:tc>
        <w:tc>
          <w:tcPr>
            <w:tcW w:w="8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1,218</w:t>
            </w:r>
          </w:p>
        </w:tc>
        <w:tc>
          <w:tcPr>
            <w:tcW w:w="73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1,207</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1,199</w:t>
            </w:r>
          </w:p>
        </w:tc>
        <w:tc>
          <w:tcPr>
            <w:tcW w:w="725"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1,219</w:t>
            </w:r>
          </w:p>
        </w:tc>
        <w:tc>
          <w:tcPr>
            <w:tcW w:w="7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1,218</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1,228</w:t>
            </w:r>
          </w:p>
        </w:tc>
        <w:tc>
          <w:tcPr>
            <w:tcW w:w="720" w:type="dxa"/>
            <w:shd w:val="clear" w:color="auto" w:fill="auto"/>
            <w:noWrap/>
            <w:tcMar>
              <w:left w:w="43" w:type="dxa"/>
              <w:right w:w="43" w:type="dxa"/>
            </w:tcMar>
            <w:vAlign w:val="center"/>
          </w:tcPr>
          <w:p w:rsidR="00511380" w:rsidRDefault="00511380" w:rsidP="00511380">
            <w:pPr>
              <w:jc w:val="right"/>
              <w:rPr>
                <w:sz w:val="14"/>
                <w:szCs w:val="14"/>
              </w:rPr>
            </w:pPr>
            <w:r>
              <w:rPr>
                <w:sz w:val="14"/>
                <w:szCs w:val="14"/>
              </w:rPr>
              <w:t>1,220</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252"/>
              <w:jc w:val="left"/>
              <w:rPr>
                <w:b/>
                <w:bCs/>
                <w:color w:val="auto"/>
                <w:szCs w:val="16"/>
              </w:rPr>
            </w:pPr>
            <w:r w:rsidRPr="00FA2FBA">
              <w:rPr>
                <w:b/>
                <w:bCs/>
                <w:color w:val="auto"/>
                <w:szCs w:val="16"/>
              </w:rPr>
              <w:t>Other deposits</w:t>
            </w:r>
          </w:p>
        </w:tc>
        <w:tc>
          <w:tcPr>
            <w:tcW w:w="650"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1,945</w:t>
            </w:r>
          </w:p>
        </w:tc>
        <w:tc>
          <w:tcPr>
            <w:tcW w:w="739"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1,453</w:t>
            </w:r>
          </w:p>
        </w:tc>
        <w:tc>
          <w:tcPr>
            <w:tcW w:w="81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2,254</w:t>
            </w:r>
          </w:p>
        </w:tc>
        <w:tc>
          <w:tcPr>
            <w:tcW w:w="730"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1,666</w:t>
            </w:r>
          </w:p>
        </w:tc>
        <w:tc>
          <w:tcPr>
            <w:tcW w:w="72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2,075</w:t>
            </w:r>
          </w:p>
        </w:tc>
        <w:tc>
          <w:tcPr>
            <w:tcW w:w="725"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2,520</w:t>
            </w:r>
          </w:p>
        </w:tc>
        <w:tc>
          <w:tcPr>
            <w:tcW w:w="71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2,254</w:t>
            </w:r>
          </w:p>
        </w:tc>
        <w:tc>
          <w:tcPr>
            <w:tcW w:w="72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2,124</w:t>
            </w:r>
          </w:p>
        </w:tc>
        <w:tc>
          <w:tcPr>
            <w:tcW w:w="720" w:type="dxa"/>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2,824</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1,553</w:t>
            </w:r>
          </w:p>
        </w:tc>
        <w:tc>
          <w:tcPr>
            <w:tcW w:w="739" w:type="dxa"/>
            <w:shd w:val="clear" w:color="auto" w:fill="auto"/>
            <w:tcMar>
              <w:left w:w="43" w:type="dxa"/>
              <w:right w:w="43" w:type="dxa"/>
            </w:tcMar>
            <w:vAlign w:val="center"/>
          </w:tcPr>
          <w:p w:rsidR="00511380" w:rsidRDefault="00511380" w:rsidP="00511380">
            <w:pPr>
              <w:jc w:val="right"/>
              <w:rPr>
                <w:sz w:val="14"/>
                <w:szCs w:val="14"/>
              </w:rPr>
            </w:pPr>
            <w:r>
              <w:rPr>
                <w:sz w:val="14"/>
                <w:szCs w:val="14"/>
              </w:rPr>
              <w:t>941</w:t>
            </w:r>
          </w:p>
        </w:tc>
        <w:tc>
          <w:tcPr>
            <w:tcW w:w="8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1,651</w:t>
            </w:r>
          </w:p>
        </w:tc>
        <w:tc>
          <w:tcPr>
            <w:tcW w:w="73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1,200</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1,527</w:t>
            </w:r>
          </w:p>
        </w:tc>
        <w:tc>
          <w:tcPr>
            <w:tcW w:w="725"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1,865</w:t>
            </w:r>
          </w:p>
        </w:tc>
        <w:tc>
          <w:tcPr>
            <w:tcW w:w="7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1,651</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1,485</w:t>
            </w:r>
          </w:p>
        </w:tc>
        <w:tc>
          <w:tcPr>
            <w:tcW w:w="720" w:type="dxa"/>
            <w:shd w:val="clear" w:color="auto" w:fill="auto"/>
            <w:noWrap/>
            <w:tcMar>
              <w:left w:w="43" w:type="dxa"/>
              <w:right w:w="43" w:type="dxa"/>
            </w:tcMar>
            <w:vAlign w:val="center"/>
          </w:tcPr>
          <w:p w:rsidR="00511380" w:rsidRDefault="00511380" w:rsidP="00511380">
            <w:pPr>
              <w:jc w:val="right"/>
              <w:rPr>
                <w:sz w:val="14"/>
                <w:szCs w:val="14"/>
              </w:rPr>
            </w:pPr>
            <w:r>
              <w:rPr>
                <w:sz w:val="14"/>
                <w:szCs w:val="14"/>
              </w:rPr>
              <w:t>1,601</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Chars="213" w:firstLine="341"/>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39"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3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shd w:val="clear" w:color="auto" w:fill="auto"/>
            <w:noWrap/>
            <w:tcMar>
              <w:left w:w="43" w:type="dxa"/>
              <w:right w:w="43" w:type="dxa"/>
            </w:tcMar>
            <w:vAlign w:val="center"/>
          </w:tcPr>
          <w:p w:rsidR="00511380" w:rsidRDefault="00511380" w:rsidP="00511380">
            <w:pPr>
              <w:jc w:val="right"/>
              <w:rPr>
                <w:sz w:val="14"/>
                <w:szCs w:val="14"/>
              </w:rPr>
            </w:pPr>
            <w:r>
              <w:rPr>
                <w:sz w:val="14"/>
                <w:szCs w:val="14"/>
              </w:rPr>
              <w:t>-</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39"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3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shd w:val="clear" w:color="auto" w:fill="auto"/>
            <w:noWrap/>
            <w:tcMar>
              <w:left w:w="43" w:type="dxa"/>
              <w:right w:w="43" w:type="dxa"/>
            </w:tcMar>
            <w:vAlign w:val="center"/>
          </w:tcPr>
          <w:p w:rsidR="00511380" w:rsidRDefault="00511380" w:rsidP="00511380">
            <w:pPr>
              <w:jc w:val="right"/>
              <w:rPr>
                <w:sz w:val="14"/>
                <w:szCs w:val="14"/>
              </w:rPr>
            </w:pPr>
            <w:r>
              <w:rPr>
                <w:sz w:val="14"/>
                <w:szCs w:val="14"/>
              </w:rPr>
              <w:t>-</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392</w:t>
            </w:r>
          </w:p>
        </w:tc>
        <w:tc>
          <w:tcPr>
            <w:tcW w:w="739" w:type="dxa"/>
            <w:shd w:val="clear" w:color="auto" w:fill="auto"/>
            <w:tcMar>
              <w:left w:w="43" w:type="dxa"/>
              <w:right w:w="43" w:type="dxa"/>
            </w:tcMar>
            <w:vAlign w:val="center"/>
          </w:tcPr>
          <w:p w:rsidR="00511380" w:rsidRDefault="00511380" w:rsidP="00511380">
            <w:pPr>
              <w:jc w:val="right"/>
              <w:rPr>
                <w:sz w:val="14"/>
                <w:szCs w:val="14"/>
              </w:rPr>
            </w:pPr>
            <w:r>
              <w:rPr>
                <w:sz w:val="14"/>
                <w:szCs w:val="14"/>
              </w:rPr>
              <w:t>512</w:t>
            </w:r>
          </w:p>
        </w:tc>
        <w:tc>
          <w:tcPr>
            <w:tcW w:w="8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603</w:t>
            </w:r>
          </w:p>
        </w:tc>
        <w:tc>
          <w:tcPr>
            <w:tcW w:w="73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465</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548</w:t>
            </w:r>
          </w:p>
        </w:tc>
        <w:tc>
          <w:tcPr>
            <w:tcW w:w="725"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655</w:t>
            </w:r>
          </w:p>
        </w:tc>
        <w:tc>
          <w:tcPr>
            <w:tcW w:w="7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603</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639</w:t>
            </w:r>
          </w:p>
        </w:tc>
        <w:tc>
          <w:tcPr>
            <w:tcW w:w="720" w:type="dxa"/>
            <w:shd w:val="clear" w:color="auto" w:fill="auto"/>
            <w:noWrap/>
            <w:tcMar>
              <w:left w:w="43" w:type="dxa"/>
              <w:right w:w="43" w:type="dxa"/>
            </w:tcMar>
            <w:vAlign w:val="center"/>
          </w:tcPr>
          <w:p w:rsidR="00511380" w:rsidRDefault="00511380" w:rsidP="00511380">
            <w:pPr>
              <w:jc w:val="right"/>
              <w:rPr>
                <w:sz w:val="14"/>
                <w:szCs w:val="14"/>
              </w:rPr>
            </w:pPr>
            <w:r>
              <w:rPr>
                <w:sz w:val="14"/>
                <w:szCs w:val="14"/>
              </w:rPr>
              <w:t>1,223</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4) Securities other than shares included in broad money</w:t>
            </w:r>
          </w:p>
        </w:tc>
        <w:tc>
          <w:tcPr>
            <w:tcW w:w="650" w:type="dxa"/>
            <w:shd w:val="clear" w:color="auto" w:fill="auto"/>
            <w:tcMar>
              <w:left w:w="43" w:type="dxa"/>
              <w:right w:w="43" w:type="dxa"/>
            </w:tcMar>
            <w:vAlign w:val="center"/>
            <w:hideMark/>
          </w:tcPr>
          <w:p w:rsidR="00511380" w:rsidRPr="00D670CE" w:rsidRDefault="00511380" w:rsidP="00511380">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39"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3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shd w:val="clear" w:color="auto" w:fill="auto"/>
            <w:noWrap/>
            <w:tcMar>
              <w:left w:w="43" w:type="dxa"/>
              <w:right w:w="43" w:type="dxa"/>
            </w:tcMar>
            <w:vAlign w:val="center"/>
          </w:tcPr>
          <w:p w:rsidR="00511380" w:rsidRDefault="00511380" w:rsidP="00511380">
            <w:pPr>
              <w:jc w:val="right"/>
              <w:rPr>
                <w:sz w:val="14"/>
                <w:szCs w:val="14"/>
              </w:rPr>
            </w:pPr>
            <w:r>
              <w:rPr>
                <w:sz w:val="14"/>
                <w:szCs w:val="14"/>
              </w:rPr>
              <w:t>-</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Chars="213" w:firstLine="341"/>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39"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3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shd w:val="clear" w:color="auto" w:fill="auto"/>
            <w:noWrap/>
            <w:tcMar>
              <w:left w:w="43" w:type="dxa"/>
              <w:right w:w="43" w:type="dxa"/>
            </w:tcMar>
            <w:vAlign w:val="center"/>
          </w:tcPr>
          <w:p w:rsidR="00511380" w:rsidRDefault="00511380" w:rsidP="00511380">
            <w:pPr>
              <w:jc w:val="right"/>
              <w:rPr>
                <w:sz w:val="14"/>
                <w:szCs w:val="14"/>
              </w:rPr>
            </w:pPr>
            <w:r>
              <w:rPr>
                <w:sz w:val="14"/>
                <w:szCs w:val="14"/>
              </w:rPr>
              <w:t>-</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39"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3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shd w:val="clear" w:color="auto" w:fill="auto"/>
            <w:noWrap/>
            <w:tcMar>
              <w:left w:w="43" w:type="dxa"/>
              <w:right w:w="43" w:type="dxa"/>
            </w:tcMar>
            <w:vAlign w:val="center"/>
          </w:tcPr>
          <w:p w:rsidR="00511380" w:rsidRDefault="00511380" w:rsidP="00511380">
            <w:pPr>
              <w:jc w:val="right"/>
              <w:rPr>
                <w:sz w:val="14"/>
                <w:szCs w:val="14"/>
              </w:rPr>
            </w:pPr>
            <w:r>
              <w:rPr>
                <w:sz w:val="14"/>
                <w:szCs w:val="14"/>
              </w:rPr>
              <w:t>-</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39"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3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shd w:val="clear" w:color="auto" w:fill="auto"/>
            <w:noWrap/>
            <w:tcMar>
              <w:left w:w="43" w:type="dxa"/>
              <w:right w:w="43" w:type="dxa"/>
            </w:tcMar>
            <w:vAlign w:val="center"/>
          </w:tcPr>
          <w:p w:rsidR="00511380" w:rsidRDefault="00511380" w:rsidP="00511380">
            <w:pPr>
              <w:jc w:val="right"/>
              <w:rPr>
                <w:sz w:val="14"/>
                <w:szCs w:val="14"/>
              </w:rPr>
            </w:pPr>
            <w:r>
              <w:rPr>
                <w:sz w:val="14"/>
                <w:szCs w:val="14"/>
              </w:rPr>
              <w:t>-</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Deposits excluded from broad money</w:t>
            </w:r>
          </w:p>
        </w:tc>
        <w:tc>
          <w:tcPr>
            <w:tcW w:w="650"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51,168</w:t>
            </w:r>
          </w:p>
        </w:tc>
        <w:tc>
          <w:tcPr>
            <w:tcW w:w="739"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57,424</w:t>
            </w:r>
          </w:p>
        </w:tc>
        <w:tc>
          <w:tcPr>
            <w:tcW w:w="81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67,332</w:t>
            </w:r>
          </w:p>
        </w:tc>
        <w:tc>
          <w:tcPr>
            <w:tcW w:w="730"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57,517</w:t>
            </w:r>
          </w:p>
        </w:tc>
        <w:tc>
          <w:tcPr>
            <w:tcW w:w="72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57,532</w:t>
            </w:r>
          </w:p>
        </w:tc>
        <w:tc>
          <w:tcPr>
            <w:tcW w:w="725"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66,399</w:t>
            </w:r>
          </w:p>
        </w:tc>
        <w:tc>
          <w:tcPr>
            <w:tcW w:w="71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67,332</w:t>
            </w:r>
          </w:p>
        </w:tc>
        <w:tc>
          <w:tcPr>
            <w:tcW w:w="72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67,250</w:t>
            </w:r>
          </w:p>
        </w:tc>
        <w:tc>
          <w:tcPr>
            <w:tcW w:w="720" w:type="dxa"/>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66,961</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511380" w:rsidRDefault="00511380" w:rsidP="00511380">
            <w:pPr>
              <w:ind w:firstLineChars="200" w:firstLine="320"/>
              <w:jc w:val="right"/>
              <w:rPr>
                <w:i/>
                <w:iCs/>
                <w:szCs w:val="16"/>
              </w:rPr>
            </w:pPr>
            <w:r>
              <w:rPr>
                <w:i/>
                <w:iCs/>
                <w:szCs w:val="16"/>
              </w:rPr>
              <w:t>-</w:t>
            </w:r>
          </w:p>
        </w:tc>
        <w:tc>
          <w:tcPr>
            <w:tcW w:w="739" w:type="dxa"/>
            <w:shd w:val="clear" w:color="auto" w:fill="auto"/>
            <w:tcMar>
              <w:left w:w="43" w:type="dxa"/>
              <w:right w:w="43" w:type="dxa"/>
            </w:tcMar>
            <w:vAlign w:val="center"/>
          </w:tcPr>
          <w:p w:rsidR="00511380" w:rsidRDefault="00511380" w:rsidP="00511380">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511380" w:rsidRDefault="00511380" w:rsidP="00511380">
            <w:pPr>
              <w:ind w:firstLineChars="200" w:firstLine="320"/>
              <w:jc w:val="right"/>
              <w:rPr>
                <w:i/>
                <w:iCs/>
                <w:szCs w:val="16"/>
              </w:rPr>
            </w:pPr>
            <w:r>
              <w:rPr>
                <w:i/>
                <w:iCs/>
                <w:szCs w:val="16"/>
              </w:rPr>
              <w:t>-</w:t>
            </w:r>
          </w:p>
        </w:tc>
        <w:tc>
          <w:tcPr>
            <w:tcW w:w="730" w:type="dxa"/>
            <w:shd w:val="clear" w:color="auto" w:fill="auto"/>
            <w:tcMar>
              <w:left w:w="43" w:type="dxa"/>
              <w:right w:w="43" w:type="dxa"/>
            </w:tcMar>
            <w:vAlign w:val="center"/>
            <w:hideMark/>
          </w:tcPr>
          <w:p w:rsidR="00511380" w:rsidRDefault="00511380" w:rsidP="00511380">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511380" w:rsidRDefault="00511380" w:rsidP="00511380">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511380" w:rsidRDefault="00511380" w:rsidP="00511380">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tcPr>
          <w:p w:rsidR="00511380" w:rsidRDefault="00511380" w:rsidP="00511380">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511380" w:rsidRDefault="00511380" w:rsidP="00511380">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511380" w:rsidRDefault="00511380" w:rsidP="00511380">
            <w:pPr>
              <w:ind w:firstLineChars="200" w:firstLine="320"/>
              <w:jc w:val="right"/>
              <w:rPr>
                <w:i/>
                <w:iCs/>
                <w:szCs w:val="16"/>
              </w:rPr>
            </w:pPr>
            <w:r>
              <w:rPr>
                <w:i/>
                <w:iCs/>
                <w:szCs w:val="16"/>
              </w:rPr>
              <w:t>-</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Securities other than shares excluded from broad money</w:t>
            </w:r>
          </w:p>
        </w:tc>
        <w:tc>
          <w:tcPr>
            <w:tcW w:w="650" w:type="dxa"/>
            <w:shd w:val="clear" w:color="auto" w:fill="auto"/>
            <w:tcMar>
              <w:left w:w="43" w:type="dxa"/>
              <w:right w:w="43" w:type="dxa"/>
            </w:tcMar>
            <w:vAlign w:val="center"/>
            <w:hideMark/>
          </w:tcPr>
          <w:p w:rsidR="00511380" w:rsidRPr="00D670CE" w:rsidRDefault="00511380" w:rsidP="00511380">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39"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3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shd w:val="clear" w:color="auto" w:fill="auto"/>
            <w:noWrap/>
            <w:tcMar>
              <w:left w:w="43" w:type="dxa"/>
              <w:right w:w="43" w:type="dxa"/>
            </w:tcMar>
            <w:vAlign w:val="center"/>
          </w:tcPr>
          <w:p w:rsidR="00511380" w:rsidRDefault="00511380" w:rsidP="00511380">
            <w:pPr>
              <w:jc w:val="right"/>
              <w:rPr>
                <w:sz w:val="14"/>
                <w:szCs w:val="14"/>
              </w:rPr>
            </w:pPr>
            <w:r>
              <w:rPr>
                <w:sz w:val="14"/>
                <w:szCs w:val="14"/>
              </w:rPr>
              <w:t>-</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Loans</w:t>
            </w:r>
          </w:p>
        </w:tc>
        <w:tc>
          <w:tcPr>
            <w:tcW w:w="650" w:type="dxa"/>
            <w:shd w:val="clear" w:color="auto" w:fill="auto"/>
            <w:tcMar>
              <w:left w:w="43" w:type="dxa"/>
              <w:right w:w="43" w:type="dxa"/>
            </w:tcMar>
            <w:vAlign w:val="center"/>
            <w:hideMark/>
          </w:tcPr>
          <w:p w:rsidR="00511380" w:rsidRPr="00D670CE" w:rsidRDefault="00511380" w:rsidP="00511380">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34,398</w:t>
            </w:r>
          </w:p>
        </w:tc>
        <w:tc>
          <w:tcPr>
            <w:tcW w:w="72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39"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3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shd w:val="clear" w:color="auto" w:fill="auto"/>
            <w:noWrap/>
            <w:tcMar>
              <w:left w:w="43" w:type="dxa"/>
              <w:right w:w="43" w:type="dxa"/>
            </w:tcMar>
            <w:vAlign w:val="center"/>
          </w:tcPr>
          <w:p w:rsidR="00511380" w:rsidRDefault="00511380" w:rsidP="00511380">
            <w:pPr>
              <w:jc w:val="right"/>
              <w:rPr>
                <w:sz w:val="14"/>
                <w:szCs w:val="14"/>
              </w:rPr>
            </w:pPr>
            <w:r>
              <w:rPr>
                <w:sz w:val="14"/>
                <w:szCs w:val="14"/>
              </w:rPr>
              <w:t>-</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Financial derivatives</w:t>
            </w:r>
          </w:p>
        </w:tc>
        <w:tc>
          <w:tcPr>
            <w:tcW w:w="650"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w:t>
            </w:r>
          </w:p>
        </w:tc>
        <w:tc>
          <w:tcPr>
            <w:tcW w:w="739"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39"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3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shd w:val="clear" w:color="auto" w:fill="auto"/>
            <w:noWrap/>
            <w:tcMar>
              <w:left w:w="43" w:type="dxa"/>
              <w:right w:w="43" w:type="dxa"/>
            </w:tcMar>
            <w:vAlign w:val="center"/>
          </w:tcPr>
          <w:p w:rsidR="00511380" w:rsidRDefault="00511380" w:rsidP="00511380">
            <w:pPr>
              <w:jc w:val="right"/>
              <w:rPr>
                <w:sz w:val="14"/>
                <w:szCs w:val="14"/>
              </w:rPr>
            </w:pPr>
            <w:r>
              <w:rPr>
                <w:sz w:val="14"/>
                <w:szCs w:val="14"/>
              </w:rPr>
              <w:t>-</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Trade credit and advances</w:t>
            </w:r>
          </w:p>
        </w:tc>
        <w:tc>
          <w:tcPr>
            <w:tcW w:w="650" w:type="dxa"/>
            <w:shd w:val="clear" w:color="auto" w:fill="auto"/>
            <w:tcMar>
              <w:left w:w="43" w:type="dxa"/>
              <w:right w:w="43" w:type="dxa"/>
            </w:tcMar>
            <w:vAlign w:val="center"/>
            <w:hideMark/>
          </w:tcPr>
          <w:p w:rsidR="00511380" w:rsidRPr="00D670CE" w:rsidRDefault="00511380" w:rsidP="00511380">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39"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8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3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w:t>
            </w:r>
          </w:p>
        </w:tc>
        <w:tc>
          <w:tcPr>
            <w:tcW w:w="7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w:t>
            </w:r>
          </w:p>
        </w:tc>
        <w:tc>
          <w:tcPr>
            <w:tcW w:w="720" w:type="dxa"/>
            <w:shd w:val="clear" w:color="auto" w:fill="auto"/>
            <w:noWrap/>
            <w:tcMar>
              <w:left w:w="43" w:type="dxa"/>
              <w:right w:w="43" w:type="dxa"/>
            </w:tcMar>
            <w:vAlign w:val="center"/>
          </w:tcPr>
          <w:p w:rsidR="00511380" w:rsidRDefault="00511380" w:rsidP="00511380">
            <w:pPr>
              <w:jc w:val="right"/>
              <w:rPr>
                <w:sz w:val="14"/>
                <w:szCs w:val="14"/>
              </w:rPr>
            </w:pPr>
            <w:r>
              <w:rPr>
                <w:sz w:val="14"/>
                <w:szCs w:val="14"/>
              </w:rPr>
              <w:t>-</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Shares and Other equity</w:t>
            </w:r>
          </w:p>
        </w:tc>
        <w:tc>
          <w:tcPr>
            <w:tcW w:w="650"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611,317</w:t>
            </w:r>
          </w:p>
        </w:tc>
        <w:tc>
          <w:tcPr>
            <w:tcW w:w="739"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575,076</w:t>
            </w:r>
          </w:p>
        </w:tc>
        <w:tc>
          <w:tcPr>
            <w:tcW w:w="81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712,937</w:t>
            </w:r>
          </w:p>
        </w:tc>
        <w:tc>
          <w:tcPr>
            <w:tcW w:w="730"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590,454</w:t>
            </w:r>
          </w:p>
        </w:tc>
        <w:tc>
          <w:tcPr>
            <w:tcW w:w="72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614,941</w:t>
            </w:r>
          </w:p>
        </w:tc>
        <w:tc>
          <w:tcPr>
            <w:tcW w:w="725"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801,232</w:t>
            </w:r>
          </w:p>
        </w:tc>
        <w:tc>
          <w:tcPr>
            <w:tcW w:w="71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712,937</w:t>
            </w:r>
          </w:p>
        </w:tc>
        <w:tc>
          <w:tcPr>
            <w:tcW w:w="72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838,293</w:t>
            </w:r>
          </w:p>
        </w:tc>
        <w:tc>
          <w:tcPr>
            <w:tcW w:w="720" w:type="dxa"/>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1,060,138</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a) Funds contributed by owners</w:t>
            </w:r>
          </w:p>
        </w:tc>
        <w:tc>
          <w:tcPr>
            <w:tcW w:w="65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100</w:t>
            </w:r>
          </w:p>
        </w:tc>
        <w:tc>
          <w:tcPr>
            <w:tcW w:w="739" w:type="dxa"/>
            <w:shd w:val="clear" w:color="auto" w:fill="auto"/>
            <w:tcMar>
              <w:left w:w="43" w:type="dxa"/>
              <w:right w:w="43" w:type="dxa"/>
            </w:tcMar>
            <w:vAlign w:val="center"/>
          </w:tcPr>
          <w:p w:rsidR="00511380" w:rsidRDefault="00511380" w:rsidP="00511380">
            <w:pPr>
              <w:jc w:val="right"/>
              <w:rPr>
                <w:sz w:val="14"/>
                <w:szCs w:val="14"/>
              </w:rPr>
            </w:pPr>
            <w:r>
              <w:rPr>
                <w:sz w:val="14"/>
                <w:szCs w:val="14"/>
              </w:rPr>
              <w:t>100</w:t>
            </w:r>
          </w:p>
        </w:tc>
        <w:tc>
          <w:tcPr>
            <w:tcW w:w="8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100</w:t>
            </w:r>
          </w:p>
        </w:tc>
        <w:tc>
          <w:tcPr>
            <w:tcW w:w="73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100</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100</w:t>
            </w:r>
          </w:p>
        </w:tc>
        <w:tc>
          <w:tcPr>
            <w:tcW w:w="7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100</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100</w:t>
            </w:r>
          </w:p>
        </w:tc>
        <w:tc>
          <w:tcPr>
            <w:tcW w:w="720" w:type="dxa"/>
            <w:shd w:val="clear" w:color="auto" w:fill="auto"/>
            <w:noWrap/>
            <w:tcMar>
              <w:left w:w="43" w:type="dxa"/>
              <w:right w:w="43" w:type="dxa"/>
            </w:tcMar>
            <w:vAlign w:val="center"/>
          </w:tcPr>
          <w:p w:rsidR="00511380" w:rsidRDefault="00511380" w:rsidP="00511380">
            <w:pPr>
              <w:jc w:val="right"/>
              <w:rPr>
                <w:sz w:val="14"/>
                <w:szCs w:val="14"/>
              </w:rPr>
            </w:pPr>
            <w:r>
              <w:rPr>
                <w:sz w:val="14"/>
                <w:szCs w:val="14"/>
              </w:rPr>
              <w:t>100</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b) Retained earnings</w:t>
            </w:r>
          </w:p>
        </w:tc>
        <w:tc>
          <w:tcPr>
            <w:tcW w:w="65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43,958</w:t>
            </w:r>
          </w:p>
        </w:tc>
        <w:tc>
          <w:tcPr>
            <w:tcW w:w="739" w:type="dxa"/>
            <w:shd w:val="clear" w:color="auto" w:fill="auto"/>
            <w:tcMar>
              <w:left w:w="43" w:type="dxa"/>
              <w:right w:w="43" w:type="dxa"/>
            </w:tcMar>
            <w:vAlign w:val="center"/>
          </w:tcPr>
          <w:p w:rsidR="00511380" w:rsidRDefault="00511380" w:rsidP="00511380">
            <w:pPr>
              <w:jc w:val="right"/>
              <w:rPr>
                <w:sz w:val="14"/>
                <w:szCs w:val="14"/>
              </w:rPr>
            </w:pPr>
            <w:r>
              <w:rPr>
                <w:sz w:val="14"/>
                <w:szCs w:val="14"/>
              </w:rPr>
              <w:t>12,779</w:t>
            </w:r>
          </w:p>
        </w:tc>
        <w:tc>
          <w:tcPr>
            <w:tcW w:w="8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553</w:t>
            </w:r>
          </w:p>
        </w:tc>
        <w:tc>
          <w:tcPr>
            <w:tcW w:w="73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28,778</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57,897</w:t>
            </w:r>
          </w:p>
        </w:tc>
        <w:tc>
          <w:tcPr>
            <w:tcW w:w="725"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168,304</w:t>
            </w:r>
          </w:p>
        </w:tc>
        <w:tc>
          <w:tcPr>
            <w:tcW w:w="7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553</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131,325</w:t>
            </w:r>
          </w:p>
        </w:tc>
        <w:tc>
          <w:tcPr>
            <w:tcW w:w="720" w:type="dxa"/>
            <w:shd w:val="clear" w:color="auto" w:fill="auto"/>
            <w:noWrap/>
            <w:tcMar>
              <w:left w:w="43" w:type="dxa"/>
              <w:right w:w="43" w:type="dxa"/>
            </w:tcMar>
            <w:vAlign w:val="center"/>
          </w:tcPr>
          <w:p w:rsidR="00511380" w:rsidRDefault="00511380" w:rsidP="00511380">
            <w:pPr>
              <w:jc w:val="right"/>
              <w:rPr>
                <w:sz w:val="14"/>
                <w:szCs w:val="14"/>
              </w:rPr>
            </w:pPr>
            <w:r>
              <w:rPr>
                <w:sz w:val="14"/>
                <w:szCs w:val="14"/>
              </w:rPr>
              <w:t>300,972</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c) General &amp; special reserves</w:t>
            </w:r>
          </w:p>
        </w:tc>
        <w:tc>
          <w:tcPr>
            <w:tcW w:w="65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142,136</w:t>
            </w:r>
          </w:p>
        </w:tc>
        <w:tc>
          <w:tcPr>
            <w:tcW w:w="739" w:type="dxa"/>
            <w:shd w:val="clear" w:color="auto" w:fill="auto"/>
            <w:tcMar>
              <w:left w:w="43" w:type="dxa"/>
              <w:right w:w="43" w:type="dxa"/>
            </w:tcMar>
            <w:vAlign w:val="center"/>
          </w:tcPr>
          <w:p w:rsidR="00511380" w:rsidRDefault="00511380" w:rsidP="00511380">
            <w:pPr>
              <w:jc w:val="right"/>
              <w:rPr>
                <w:sz w:val="14"/>
                <w:szCs w:val="14"/>
              </w:rPr>
            </w:pPr>
            <w:r>
              <w:rPr>
                <w:sz w:val="14"/>
                <w:szCs w:val="14"/>
              </w:rPr>
              <w:t>110,715</w:t>
            </w:r>
          </w:p>
        </w:tc>
        <w:tc>
          <w:tcPr>
            <w:tcW w:w="8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119,630</w:t>
            </w:r>
          </w:p>
        </w:tc>
        <w:tc>
          <w:tcPr>
            <w:tcW w:w="73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110,715</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110,715</w:t>
            </w:r>
          </w:p>
        </w:tc>
        <w:tc>
          <w:tcPr>
            <w:tcW w:w="725"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110,522</w:t>
            </w:r>
          </w:p>
        </w:tc>
        <w:tc>
          <w:tcPr>
            <w:tcW w:w="7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119,630</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119,630</w:t>
            </w:r>
          </w:p>
        </w:tc>
        <w:tc>
          <w:tcPr>
            <w:tcW w:w="720" w:type="dxa"/>
            <w:shd w:val="clear" w:color="auto" w:fill="auto"/>
            <w:noWrap/>
            <w:tcMar>
              <w:left w:w="43" w:type="dxa"/>
              <w:right w:w="43" w:type="dxa"/>
            </w:tcMar>
            <w:vAlign w:val="center"/>
          </w:tcPr>
          <w:p w:rsidR="00511380" w:rsidRDefault="00511380" w:rsidP="00511380">
            <w:pPr>
              <w:jc w:val="right"/>
              <w:rPr>
                <w:sz w:val="14"/>
                <w:szCs w:val="14"/>
              </w:rPr>
            </w:pPr>
            <w:r>
              <w:rPr>
                <w:sz w:val="14"/>
                <w:szCs w:val="14"/>
              </w:rPr>
              <w:t>121,678</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d) Valuation adjustment</w:t>
            </w:r>
          </w:p>
        </w:tc>
        <w:tc>
          <w:tcPr>
            <w:tcW w:w="65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425,123</w:t>
            </w:r>
          </w:p>
        </w:tc>
        <w:tc>
          <w:tcPr>
            <w:tcW w:w="739" w:type="dxa"/>
            <w:shd w:val="clear" w:color="auto" w:fill="auto"/>
            <w:tcMar>
              <w:left w:w="43" w:type="dxa"/>
              <w:right w:w="43" w:type="dxa"/>
            </w:tcMar>
            <w:vAlign w:val="center"/>
          </w:tcPr>
          <w:p w:rsidR="00511380" w:rsidRDefault="00511380" w:rsidP="00511380">
            <w:pPr>
              <w:jc w:val="right"/>
              <w:rPr>
                <w:sz w:val="14"/>
                <w:szCs w:val="14"/>
              </w:rPr>
            </w:pPr>
            <w:r>
              <w:rPr>
                <w:sz w:val="14"/>
                <w:szCs w:val="14"/>
              </w:rPr>
              <w:t>451,482</w:t>
            </w:r>
          </w:p>
        </w:tc>
        <w:tc>
          <w:tcPr>
            <w:tcW w:w="8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592,654</w:t>
            </w:r>
          </w:p>
        </w:tc>
        <w:tc>
          <w:tcPr>
            <w:tcW w:w="73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450,861</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446,228</w:t>
            </w:r>
          </w:p>
        </w:tc>
        <w:tc>
          <w:tcPr>
            <w:tcW w:w="725"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522,306</w:t>
            </w:r>
          </w:p>
        </w:tc>
        <w:tc>
          <w:tcPr>
            <w:tcW w:w="7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592,654</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587,238</w:t>
            </w:r>
          </w:p>
        </w:tc>
        <w:tc>
          <w:tcPr>
            <w:tcW w:w="720" w:type="dxa"/>
            <w:shd w:val="clear" w:color="auto" w:fill="auto"/>
            <w:noWrap/>
            <w:tcMar>
              <w:left w:w="43" w:type="dxa"/>
              <w:right w:w="43" w:type="dxa"/>
            </w:tcMar>
            <w:vAlign w:val="center"/>
          </w:tcPr>
          <w:p w:rsidR="00511380" w:rsidRDefault="00511380" w:rsidP="00511380">
            <w:pPr>
              <w:jc w:val="right"/>
              <w:rPr>
                <w:sz w:val="14"/>
                <w:szCs w:val="14"/>
              </w:rPr>
            </w:pPr>
            <w:r>
              <w:rPr>
                <w:sz w:val="14"/>
                <w:szCs w:val="14"/>
              </w:rPr>
              <w:t>637,388</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jc w:val="left"/>
              <w:rPr>
                <w:b/>
                <w:bCs/>
                <w:color w:val="auto"/>
                <w:szCs w:val="16"/>
              </w:rPr>
            </w:pPr>
            <w:r w:rsidRPr="00FA2FBA">
              <w:rPr>
                <w:b/>
                <w:bCs/>
                <w:color w:val="auto"/>
                <w:szCs w:val="16"/>
              </w:rPr>
              <w:t>Other items (net)</w:t>
            </w:r>
          </w:p>
        </w:tc>
        <w:tc>
          <w:tcPr>
            <w:tcW w:w="650"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840</w:t>
            </w:r>
          </w:p>
        </w:tc>
        <w:tc>
          <w:tcPr>
            <w:tcW w:w="739"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9,896</w:t>
            </w:r>
          </w:p>
        </w:tc>
        <w:tc>
          <w:tcPr>
            <w:tcW w:w="81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219,686</w:t>
            </w:r>
          </w:p>
        </w:tc>
        <w:tc>
          <w:tcPr>
            <w:tcW w:w="730"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(5,609)</w:t>
            </w:r>
          </w:p>
        </w:tc>
        <w:tc>
          <w:tcPr>
            <w:tcW w:w="72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(41,816)</w:t>
            </w:r>
          </w:p>
        </w:tc>
        <w:tc>
          <w:tcPr>
            <w:tcW w:w="725" w:type="dxa"/>
            <w:shd w:val="clear" w:color="auto" w:fill="auto"/>
            <w:tcMar>
              <w:left w:w="43" w:type="dxa"/>
              <w:right w:w="43" w:type="dxa"/>
            </w:tcMar>
            <w:vAlign w:val="center"/>
            <w:hideMark/>
          </w:tcPr>
          <w:p w:rsidR="00511380" w:rsidRDefault="00511380" w:rsidP="00511380">
            <w:pPr>
              <w:jc w:val="right"/>
              <w:rPr>
                <w:b/>
                <w:bCs/>
                <w:sz w:val="14"/>
                <w:szCs w:val="14"/>
              </w:rPr>
            </w:pPr>
            <w:r>
              <w:rPr>
                <w:b/>
                <w:bCs/>
                <w:sz w:val="14"/>
                <w:szCs w:val="14"/>
              </w:rPr>
              <w:t>58,206</w:t>
            </w:r>
          </w:p>
        </w:tc>
        <w:tc>
          <w:tcPr>
            <w:tcW w:w="71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219,686</w:t>
            </w:r>
          </w:p>
        </w:tc>
        <w:tc>
          <w:tcPr>
            <w:tcW w:w="725" w:type="dxa"/>
            <w:shd w:val="clear" w:color="auto" w:fill="auto"/>
            <w:tcMar>
              <w:left w:w="43" w:type="dxa"/>
              <w:right w:w="43" w:type="dxa"/>
            </w:tcMar>
            <w:vAlign w:val="center"/>
          </w:tcPr>
          <w:p w:rsidR="00511380" w:rsidRDefault="00511380" w:rsidP="00511380">
            <w:pPr>
              <w:jc w:val="right"/>
              <w:rPr>
                <w:b/>
                <w:bCs/>
                <w:sz w:val="14"/>
                <w:szCs w:val="14"/>
              </w:rPr>
            </w:pPr>
            <w:r>
              <w:rPr>
                <w:b/>
                <w:bCs/>
                <w:sz w:val="14"/>
                <w:szCs w:val="14"/>
              </w:rPr>
              <w:t>164,842</w:t>
            </w:r>
          </w:p>
        </w:tc>
        <w:tc>
          <w:tcPr>
            <w:tcW w:w="720" w:type="dxa"/>
            <w:shd w:val="clear" w:color="auto" w:fill="auto"/>
            <w:noWrap/>
            <w:tcMar>
              <w:left w:w="43" w:type="dxa"/>
              <w:right w:w="43" w:type="dxa"/>
            </w:tcMar>
            <w:vAlign w:val="center"/>
          </w:tcPr>
          <w:p w:rsidR="00511380" w:rsidRDefault="00511380" w:rsidP="00511380">
            <w:pPr>
              <w:jc w:val="right"/>
              <w:rPr>
                <w:b/>
                <w:bCs/>
                <w:sz w:val="14"/>
                <w:szCs w:val="14"/>
              </w:rPr>
            </w:pPr>
            <w:r>
              <w:rPr>
                <w:b/>
                <w:bCs/>
                <w:sz w:val="14"/>
                <w:szCs w:val="14"/>
              </w:rPr>
              <w:t>50,490</w:t>
            </w:r>
          </w:p>
        </w:tc>
      </w:tr>
      <w:tr w:rsidR="00511380" w:rsidRPr="00FA2FBA" w:rsidTr="001734D6">
        <w:trPr>
          <w:trHeight w:val="245"/>
        </w:trPr>
        <w:tc>
          <w:tcPr>
            <w:tcW w:w="4094" w:type="dxa"/>
            <w:shd w:val="clear" w:color="auto" w:fill="auto"/>
            <w:noWrap/>
            <w:vAlign w:val="center"/>
            <w:hideMark/>
          </w:tcPr>
          <w:p w:rsidR="00511380" w:rsidRPr="00FA2FBA" w:rsidRDefault="00511380" w:rsidP="00511380">
            <w:pPr>
              <w:ind w:firstLineChars="200" w:firstLine="320"/>
              <w:jc w:val="left"/>
              <w:rPr>
                <w:color w:val="auto"/>
                <w:szCs w:val="16"/>
              </w:rPr>
            </w:pPr>
            <w:r w:rsidRPr="00FA2FBA">
              <w:rPr>
                <w:color w:val="auto"/>
                <w:szCs w:val="16"/>
              </w:rPr>
              <w:t>Other liabilities</w:t>
            </w:r>
          </w:p>
        </w:tc>
        <w:tc>
          <w:tcPr>
            <w:tcW w:w="65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180,353</w:t>
            </w:r>
          </w:p>
        </w:tc>
        <w:tc>
          <w:tcPr>
            <w:tcW w:w="739" w:type="dxa"/>
            <w:shd w:val="clear" w:color="auto" w:fill="auto"/>
            <w:tcMar>
              <w:left w:w="43" w:type="dxa"/>
              <w:right w:w="43" w:type="dxa"/>
            </w:tcMar>
            <w:vAlign w:val="center"/>
          </w:tcPr>
          <w:p w:rsidR="00511380" w:rsidRDefault="00511380" w:rsidP="00511380">
            <w:pPr>
              <w:jc w:val="right"/>
              <w:rPr>
                <w:sz w:val="14"/>
                <w:szCs w:val="14"/>
              </w:rPr>
            </w:pPr>
            <w:r>
              <w:rPr>
                <w:sz w:val="14"/>
                <w:szCs w:val="14"/>
              </w:rPr>
              <w:t>161,463</w:t>
            </w:r>
          </w:p>
        </w:tc>
        <w:tc>
          <w:tcPr>
            <w:tcW w:w="8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391,992</w:t>
            </w:r>
          </w:p>
        </w:tc>
        <w:tc>
          <w:tcPr>
            <w:tcW w:w="730"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134,542</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118,601</w:t>
            </w:r>
          </w:p>
        </w:tc>
        <w:tc>
          <w:tcPr>
            <w:tcW w:w="725" w:type="dxa"/>
            <w:shd w:val="clear" w:color="auto" w:fill="auto"/>
            <w:tcMar>
              <w:left w:w="43" w:type="dxa"/>
              <w:right w:w="43" w:type="dxa"/>
            </w:tcMar>
            <w:vAlign w:val="center"/>
            <w:hideMark/>
          </w:tcPr>
          <w:p w:rsidR="00511380" w:rsidRDefault="00511380" w:rsidP="00511380">
            <w:pPr>
              <w:jc w:val="right"/>
              <w:rPr>
                <w:sz w:val="14"/>
                <w:szCs w:val="14"/>
              </w:rPr>
            </w:pPr>
            <w:r>
              <w:rPr>
                <w:sz w:val="14"/>
                <w:szCs w:val="14"/>
              </w:rPr>
              <w:t>306,627</w:t>
            </w:r>
          </w:p>
        </w:tc>
        <w:tc>
          <w:tcPr>
            <w:tcW w:w="715" w:type="dxa"/>
            <w:shd w:val="clear" w:color="auto" w:fill="auto"/>
            <w:tcMar>
              <w:left w:w="43" w:type="dxa"/>
              <w:right w:w="43" w:type="dxa"/>
            </w:tcMar>
            <w:vAlign w:val="center"/>
          </w:tcPr>
          <w:p w:rsidR="00511380" w:rsidRDefault="00511380" w:rsidP="00511380">
            <w:pPr>
              <w:jc w:val="right"/>
              <w:rPr>
                <w:sz w:val="14"/>
                <w:szCs w:val="14"/>
              </w:rPr>
            </w:pPr>
            <w:r>
              <w:rPr>
                <w:sz w:val="14"/>
                <w:szCs w:val="14"/>
              </w:rPr>
              <w:t>391,992</w:t>
            </w:r>
          </w:p>
        </w:tc>
        <w:tc>
          <w:tcPr>
            <w:tcW w:w="725" w:type="dxa"/>
            <w:shd w:val="clear" w:color="auto" w:fill="auto"/>
            <w:tcMar>
              <w:left w:w="43" w:type="dxa"/>
              <w:right w:w="43" w:type="dxa"/>
            </w:tcMar>
            <w:vAlign w:val="center"/>
          </w:tcPr>
          <w:p w:rsidR="00511380" w:rsidRDefault="00511380" w:rsidP="00511380">
            <w:pPr>
              <w:jc w:val="right"/>
              <w:rPr>
                <w:sz w:val="14"/>
                <w:szCs w:val="14"/>
              </w:rPr>
            </w:pPr>
            <w:r>
              <w:rPr>
                <w:sz w:val="14"/>
                <w:szCs w:val="14"/>
              </w:rPr>
              <w:t>258,991</w:t>
            </w:r>
          </w:p>
        </w:tc>
        <w:tc>
          <w:tcPr>
            <w:tcW w:w="720" w:type="dxa"/>
            <w:shd w:val="clear" w:color="auto" w:fill="auto"/>
            <w:noWrap/>
            <w:tcMar>
              <w:left w:w="43" w:type="dxa"/>
              <w:right w:w="43" w:type="dxa"/>
            </w:tcMar>
            <w:vAlign w:val="center"/>
          </w:tcPr>
          <w:p w:rsidR="00511380" w:rsidRDefault="00511380" w:rsidP="00511380">
            <w:pPr>
              <w:jc w:val="right"/>
              <w:rPr>
                <w:sz w:val="14"/>
                <w:szCs w:val="14"/>
              </w:rPr>
            </w:pPr>
            <w:r>
              <w:rPr>
                <w:sz w:val="14"/>
                <w:szCs w:val="14"/>
              </w:rPr>
              <w:t>216,610</w:t>
            </w:r>
          </w:p>
        </w:tc>
      </w:tr>
      <w:tr w:rsidR="00511380" w:rsidRPr="00FA2FBA" w:rsidTr="001734D6">
        <w:trPr>
          <w:trHeight w:val="245"/>
        </w:trPr>
        <w:tc>
          <w:tcPr>
            <w:tcW w:w="4094" w:type="dxa"/>
            <w:tcBorders>
              <w:bottom w:val="single" w:sz="12" w:space="0" w:color="auto"/>
            </w:tcBorders>
            <w:shd w:val="clear" w:color="auto" w:fill="auto"/>
            <w:noWrap/>
            <w:vAlign w:val="center"/>
            <w:hideMark/>
          </w:tcPr>
          <w:p w:rsidR="00511380" w:rsidRPr="00FA2FBA" w:rsidRDefault="00511380" w:rsidP="00511380">
            <w:pPr>
              <w:jc w:val="left"/>
              <w:rPr>
                <w:i/>
                <w:iCs/>
                <w:color w:val="auto"/>
                <w:szCs w:val="16"/>
              </w:rPr>
            </w:pPr>
            <w:r w:rsidRPr="00FA2FBA">
              <w:rPr>
                <w:i/>
                <w:iCs/>
                <w:color w:val="auto"/>
                <w:szCs w:val="16"/>
              </w:rPr>
              <w:t>Less: Other Assets</w:t>
            </w:r>
          </w:p>
        </w:tc>
        <w:tc>
          <w:tcPr>
            <w:tcW w:w="650" w:type="dxa"/>
            <w:tcBorders>
              <w:bottom w:val="single" w:sz="12" w:space="0" w:color="auto"/>
            </w:tcBorders>
            <w:shd w:val="clear" w:color="auto" w:fill="auto"/>
            <w:tcMar>
              <w:left w:w="43" w:type="dxa"/>
              <w:right w:w="43" w:type="dxa"/>
            </w:tcMar>
            <w:vAlign w:val="center"/>
            <w:hideMark/>
          </w:tcPr>
          <w:p w:rsidR="00511380" w:rsidRDefault="00511380" w:rsidP="00511380">
            <w:pPr>
              <w:jc w:val="right"/>
              <w:rPr>
                <w:i/>
                <w:iCs/>
                <w:sz w:val="14"/>
                <w:szCs w:val="14"/>
              </w:rPr>
            </w:pPr>
            <w:r>
              <w:rPr>
                <w:i/>
                <w:iCs/>
                <w:sz w:val="14"/>
                <w:szCs w:val="14"/>
              </w:rPr>
              <w:t>179,512</w:t>
            </w:r>
          </w:p>
        </w:tc>
        <w:tc>
          <w:tcPr>
            <w:tcW w:w="739" w:type="dxa"/>
            <w:tcBorders>
              <w:bottom w:val="single" w:sz="12" w:space="0" w:color="auto"/>
            </w:tcBorders>
            <w:shd w:val="clear" w:color="auto" w:fill="auto"/>
            <w:tcMar>
              <w:left w:w="43" w:type="dxa"/>
              <w:right w:w="43" w:type="dxa"/>
            </w:tcMar>
            <w:vAlign w:val="center"/>
          </w:tcPr>
          <w:p w:rsidR="00511380" w:rsidRDefault="00511380" w:rsidP="00511380">
            <w:pPr>
              <w:jc w:val="right"/>
              <w:rPr>
                <w:i/>
                <w:iCs/>
                <w:sz w:val="14"/>
                <w:szCs w:val="14"/>
              </w:rPr>
            </w:pPr>
            <w:r>
              <w:rPr>
                <w:i/>
                <w:iCs/>
                <w:sz w:val="14"/>
                <w:szCs w:val="14"/>
              </w:rPr>
              <w:t>151,567</w:t>
            </w:r>
          </w:p>
        </w:tc>
        <w:tc>
          <w:tcPr>
            <w:tcW w:w="815" w:type="dxa"/>
            <w:tcBorders>
              <w:bottom w:val="single" w:sz="12" w:space="0" w:color="auto"/>
            </w:tcBorders>
            <w:shd w:val="clear" w:color="auto" w:fill="auto"/>
            <w:tcMar>
              <w:left w:w="43" w:type="dxa"/>
              <w:right w:w="43" w:type="dxa"/>
            </w:tcMar>
            <w:vAlign w:val="center"/>
          </w:tcPr>
          <w:p w:rsidR="00511380" w:rsidRDefault="00511380" w:rsidP="00511380">
            <w:pPr>
              <w:jc w:val="right"/>
              <w:rPr>
                <w:i/>
                <w:iCs/>
                <w:sz w:val="14"/>
                <w:szCs w:val="14"/>
              </w:rPr>
            </w:pPr>
            <w:r>
              <w:rPr>
                <w:i/>
                <w:iCs/>
                <w:sz w:val="14"/>
                <w:szCs w:val="14"/>
              </w:rPr>
              <w:t>172,306</w:t>
            </w:r>
          </w:p>
        </w:tc>
        <w:tc>
          <w:tcPr>
            <w:tcW w:w="730" w:type="dxa"/>
            <w:tcBorders>
              <w:bottom w:val="single" w:sz="12" w:space="0" w:color="auto"/>
            </w:tcBorders>
            <w:shd w:val="clear" w:color="auto" w:fill="auto"/>
            <w:tcMar>
              <w:left w:w="43" w:type="dxa"/>
              <w:right w:w="43" w:type="dxa"/>
            </w:tcMar>
            <w:vAlign w:val="center"/>
            <w:hideMark/>
          </w:tcPr>
          <w:p w:rsidR="00511380" w:rsidRDefault="00511380" w:rsidP="00511380">
            <w:pPr>
              <w:jc w:val="right"/>
              <w:rPr>
                <w:i/>
                <w:iCs/>
                <w:sz w:val="14"/>
                <w:szCs w:val="14"/>
              </w:rPr>
            </w:pPr>
            <w:r>
              <w:rPr>
                <w:i/>
                <w:iCs/>
                <w:sz w:val="14"/>
                <w:szCs w:val="14"/>
              </w:rPr>
              <w:t>140,151</w:t>
            </w:r>
          </w:p>
        </w:tc>
        <w:tc>
          <w:tcPr>
            <w:tcW w:w="725" w:type="dxa"/>
            <w:tcBorders>
              <w:bottom w:val="single" w:sz="12" w:space="0" w:color="auto"/>
            </w:tcBorders>
            <w:shd w:val="clear" w:color="auto" w:fill="auto"/>
            <w:tcMar>
              <w:left w:w="43" w:type="dxa"/>
              <w:right w:w="43" w:type="dxa"/>
            </w:tcMar>
            <w:vAlign w:val="center"/>
          </w:tcPr>
          <w:p w:rsidR="00511380" w:rsidRDefault="00511380" w:rsidP="00511380">
            <w:pPr>
              <w:jc w:val="right"/>
              <w:rPr>
                <w:i/>
                <w:iCs/>
                <w:sz w:val="14"/>
                <w:szCs w:val="14"/>
              </w:rPr>
            </w:pPr>
            <w:r>
              <w:rPr>
                <w:i/>
                <w:iCs/>
                <w:sz w:val="14"/>
                <w:szCs w:val="14"/>
              </w:rPr>
              <w:t>160,417</w:t>
            </w:r>
          </w:p>
        </w:tc>
        <w:tc>
          <w:tcPr>
            <w:tcW w:w="725" w:type="dxa"/>
            <w:tcBorders>
              <w:bottom w:val="single" w:sz="12" w:space="0" w:color="auto"/>
            </w:tcBorders>
            <w:shd w:val="clear" w:color="auto" w:fill="auto"/>
            <w:tcMar>
              <w:left w:w="43" w:type="dxa"/>
              <w:right w:w="43" w:type="dxa"/>
            </w:tcMar>
            <w:vAlign w:val="center"/>
            <w:hideMark/>
          </w:tcPr>
          <w:p w:rsidR="00511380" w:rsidRDefault="00511380" w:rsidP="00511380">
            <w:pPr>
              <w:jc w:val="right"/>
              <w:rPr>
                <w:i/>
                <w:iCs/>
                <w:sz w:val="14"/>
                <w:szCs w:val="14"/>
              </w:rPr>
            </w:pPr>
            <w:r>
              <w:rPr>
                <w:i/>
                <w:iCs/>
                <w:sz w:val="14"/>
                <w:szCs w:val="14"/>
              </w:rPr>
              <w:t>248,421</w:t>
            </w:r>
          </w:p>
        </w:tc>
        <w:tc>
          <w:tcPr>
            <w:tcW w:w="715" w:type="dxa"/>
            <w:tcBorders>
              <w:bottom w:val="single" w:sz="12" w:space="0" w:color="auto"/>
            </w:tcBorders>
            <w:shd w:val="clear" w:color="auto" w:fill="auto"/>
            <w:tcMar>
              <w:left w:w="43" w:type="dxa"/>
              <w:right w:w="43" w:type="dxa"/>
            </w:tcMar>
            <w:vAlign w:val="center"/>
          </w:tcPr>
          <w:p w:rsidR="00511380" w:rsidRDefault="00511380" w:rsidP="00511380">
            <w:pPr>
              <w:jc w:val="right"/>
              <w:rPr>
                <w:i/>
                <w:iCs/>
                <w:sz w:val="14"/>
                <w:szCs w:val="14"/>
              </w:rPr>
            </w:pPr>
            <w:r>
              <w:rPr>
                <w:i/>
                <w:iCs/>
                <w:sz w:val="14"/>
                <w:szCs w:val="14"/>
              </w:rPr>
              <w:t>172,306</w:t>
            </w:r>
          </w:p>
        </w:tc>
        <w:tc>
          <w:tcPr>
            <w:tcW w:w="725" w:type="dxa"/>
            <w:tcBorders>
              <w:bottom w:val="single" w:sz="12" w:space="0" w:color="auto"/>
            </w:tcBorders>
            <w:shd w:val="clear" w:color="auto" w:fill="auto"/>
            <w:tcMar>
              <w:left w:w="43" w:type="dxa"/>
              <w:right w:w="43" w:type="dxa"/>
            </w:tcMar>
            <w:vAlign w:val="center"/>
          </w:tcPr>
          <w:p w:rsidR="00511380" w:rsidRDefault="00511380" w:rsidP="00511380">
            <w:pPr>
              <w:jc w:val="right"/>
              <w:rPr>
                <w:i/>
                <w:iCs/>
                <w:sz w:val="14"/>
                <w:szCs w:val="14"/>
              </w:rPr>
            </w:pPr>
            <w:r>
              <w:rPr>
                <w:i/>
                <w:iCs/>
                <w:sz w:val="14"/>
                <w:szCs w:val="14"/>
              </w:rPr>
              <w:t>94,149</w:t>
            </w:r>
          </w:p>
        </w:tc>
        <w:tc>
          <w:tcPr>
            <w:tcW w:w="720" w:type="dxa"/>
            <w:tcBorders>
              <w:bottom w:val="single" w:sz="12" w:space="0" w:color="auto"/>
            </w:tcBorders>
            <w:shd w:val="clear" w:color="auto" w:fill="auto"/>
            <w:noWrap/>
            <w:tcMar>
              <w:left w:w="43" w:type="dxa"/>
              <w:right w:w="43" w:type="dxa"/>
            </w:tcMar>
            <w:vAlign w:val="center"/>
          </w:tcPr>
          <w:p w:rsidR="00511380" w:rsidRDefault="00511380" w:rsidP="00511380">
            <w:pPr>
              <w:jc w:val="right"/>
              <w:rPr>
                <w:i/>
                <w:iCs/>
                <w:sz w:val="14"/>
                <w:szCs w:val="14"/>
              </w:rPr>
            </w:pPr>
            <w:r>
              <w:rPr>
                <w:i/>
                <w:iCs/>
                <w:sz w:val="14"/>
                <w:szCs w:val="14"/>
              </w:rPr>
              <w:t>166,120</w:t>
            </w:r>
          </w:p>
        </w:tc>
      </w:tr>
      <w:tr w:rsidR="001C0E67" w:rsidRPr="00FA2FBA" w:rsidTr="006B7883">
        <w:trPr>
          <w:trHeight w:val="195"/>
        </w:trPr>
        <w:tc>
          <w:tcPr>
            <w:tcW w:w="10638" w:type="dxa"/>
            <w:gridSpan w:val="10"/>
            <w:tcBorders>
              <w:top w:val="single" w:sz="12" w:space="0" w:color="auto"/>
            </w:tcBorders>
            <w:shd w:val="clear" w:color="auto" w:fill="auto"/>
            <w:noWrap/>
            <w:vAlign w:val="center"/>
            <w:hideMark/>
          </w:tcPr>
          <w:p w:rsidR="00C37C45" w:rsidRDefault="00C37C45" w:rsidP="00C37C45">
            <w:pPr>
              <w:jc w:val="right"/>
              <w:rPr>
                <w:b/>
                <w:bCs/>
                <w:color w:val="auto"/>
                <w:sz w:val="14"/>
                <w:szCs w:val="14"/>
              </w:rPr>
            </w:pPr>
            <w:r>
              <w:rPr>
                <w:sz w:val="14"/>
                <w:szCs w:val="14"/>
              </w:rPr>
              <w:t>Source: Statistics &amp; Data Warehouse Department SBP</w:t>
            </w:r>
          </w:p>
          <w:p w:rsidR="001C0E67" w:rsidRPr="00FA2FBA" w:rsidRDefault="001C0E67" w:rsidP="001C0E67">
            <w:pPr>
              <w:jc w:val="left"/>
              <w:rPr>
                <w:rFonts w:ascii="Calibri" w:hAnsi="Calibri"/>
                <w:sz w:val="22"/>
                <w:szCs w:val="22"/>
              </w:rPr>
            </w:pPr>
            <w:r w:rsidRPr="004F1CC1">
              <w:rPr>
                <w:b/>
                <w:bCs/>
                <w:color w:val="auto"/>
                <w:sz w:val="14"/>
                <w:szCs w:val="14"/>
              </w:rPr>
              <w:t xml:space="preserve">Note :  </w:t>
            </w:r>
          </w:p>
        </w:tc>
      </w:tr>
      <w:tr w:rsidR="001C0E67" w:rsidRPr="00FA2FBA" w:rsidTr="00846691">
        <w:trPr>
          <w:trHeight w:val="423"/>
        </w:trPr>
        <w:tc>
          <w:tcPr>
            <w:tcW w:w="10638" w:type="dxa"/>
            <w:gridSpan w:val="10"/>
            <w:shd w:val="clear" w:color="auto" w:fill="auto"/>
            <w:noWrap/>
            <w:vAlign w:val="center"/>
            <w:hideMark/>
          </w:tcPr>
          <w:p w:rsidR="001C0E67" w:rsidRPr="006A1E59" w:rsidRDefault="001C0E67" w:rsidP="006A1E59">
            <w:pPr>
              <w:pStyle w:val="ListParagraph"/>
              <w:numPr>
                <w:ilvl w:val="0"/>
                <w:numId w:val="14"/>
              </w:numPr>
              <w:spacing w:after="0"/>
              <w:ind w:left="360"/>
              <w:rPr>
                <w:rFonts w:asciiTheme="majorBidi" w:hAnsiTheme="majorBidi" w:cstheme="majorBidi"/>
                <w:sz w:val="14"/>
                <w:szCs w:val="14"/>
              </w:rPr>
            </w:pPr>
            <w:r w:rsidRPr="006A1E59">
              <w:rPr>
                <w:rFonts w:asciiTheme="majorBidi" w:hAnsiTheme="majorBidi" w:cstheme="majorBidi"/>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6A1E59">
                <w:rPr>
                  <w:rFonts w:asciiTheme="majorBidi" w:hAnsiTheme="majorBidi" w:cstheme="majorBidi"/>
                  <w:sz w:val="14"/>
                  <w:szCs w:val="14"/>
                </w:rPr>
                <w:t>http://www.sbp.org.pk/departments/Guidelines.htm</w:t>
              </w:r>
            </w:hyperlink>
          </w:p>
          <w:p w:rsidR="006A1E59" w:rsidRPr="006A1E59" w:rsidRDefault="006A1E59" w:rsidP="006A1E59">
            <w:pPr>
              <w:numPr>
                <w:ilvl w:val="0"/>
                <w:numId w:val="14"/>
              </w:numPr>
              <w:tabs>
                <w:tab w:val="left" w:pos="450"/>
              </w:tabs>
              <w:ind w:left="360"/>
              <w:jc w:val="left"/>
              <w:rPr>
                <w:rFonts w:asciiTheme="majorBidi" w:hAnsiTheme="majorBidi" w:cstheme="majorBidi"/>
                <w:color w:val="auto"/>
                <w:szCs w:val="16"/>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tc>
      </w:tr>
      <w:tr w:rsidR="001C0E67" w:rsidRPr="00FA2FBA" w:rsidTr="00846691">
        <w:trPr>
          <w:trHeight w:val="268"/>
        </w:trPr>
        <w:tc>
          <w:tcPr>
            <w:tcW w:w="10638" w:type="dxa"/>
            <w:gridSpan w:val="10"/>
            <w:shd w:val="clear" w:color="auto" w:fill="auto"/>
            <w:noWrap/>
            <w:vAlign w:val="center"/>
            <w:hideMark/>
          </w:tcPr>
          <w:p w:rsidR="001C0E67" w:rsidRPr="00CE511E" w:rsidRDefault="001C0E67" w:rsidP="001C0E67">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bookmarkStart w:id="0" w:name="_GoBack"/>
      <w:bookmarkEnd w:id="0"/>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807"/>
        <w:gridCol w:w="810"/>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CF3B76" w:rsidRPr="008245E8" w:rsidTr="001734D6">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CF3B76" w:rsidRPr="008245E8" w:rsidRDefault="00CF3B76" w:rsidP="00CF3B76">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CF3B76" w:rsidRPr="008245E8" w:rsidRDefault="00CF3B76" w:rsidP="00CF3B76">
            <w:pPr>
              <w:jc w:val="right"/>
              <w:rPr>
                <w:b/>
                <w:bCs/>
                <w:color w:val="auto"/>
                <w:szCs w:val="16"/>
              </w:rPr>
            </w:pPr>
            <w:r w:rsidRPr="009311D7">
              <w:rPr>
                <w:b/>
                <w:bCs/>
                <w:color w:val="auto"/>
                <w:szCs w:val="16"/>
              </w:rPr>
              <w:t>FY17</w:t>
            </w:r>
          </w:p>
        </w:tc>
        <w:tc>
          <w:tcPr>
            <w:tcW w:w="741" w:type="dxa"/>
            <w:vMerge w:val="restart"/>
            <w:tcBorders>
              <w:top w:val="nil"/>
              <w:left w:val="single" w:sz="4" w:space="0" w:color="auto"/>
              <w:right w:val="single" w:sz="4" w:space="0" w:color="auto"/>
            </w:tcBorders>
            <w:shd w:val="clear" w:color="auto" w:fill="auto"/>
            <w:vAlign w:val="center"/>
          </w:tcPr>
          <w:p w:rsidR="00CF3B76" w:rsidRPr="002D5FD9" w:rsidRDefault="00CF3B76" w:rsidP="00CF3B76">
            <w:pPr>
              <w:jc w:val="right"/>
              <w:rPr>
                <w:b/>
                <w:bCs/>
                <w:szCs w:val="16"/>
              </w:rPr>
            </w:pPr>
            <w:r>
              <w:rPr>
                <w:b/>
                <w:bCs/>
                <w:szCs w:val="16"/>
              </w:rPr>
              <w:t>FY18</w:t>
            </w:r>
          </w:p>
        </w:tc>
        <w:tc>
          <w:tcPr>
            <w:tcW w:w="807" w:type="dxa"/>
            <w:vMerge w:val="restart"/>
            <w:tcBorders>
              <w:top w:val="nil"/>
              <w:left w:val="single" w:sz="4" w:space="0" w:color="auto"/>
              <w:right w:val="single" w:sz="4" w:space="0" w:color="auto"/>
            </w:tcBorders>
            <w:shd w:val="clear" w:color="auto" w:fill="auto"/>
            <w:vAlign w:val="center"/>
          </w:tcPr>
          <w:p w:rsidR="00CF3B76" w:rsidRPr="002D5FD9" w:rsidRDefault="00CF3B76" w:rsidP="00A250BE">
            <w:pPr>
              <w:jc w:val="right"/>
              <w:rPr>
                <w:b/>
                <w:bCs/>
                <w:szCs w:val="16"/>
              </w:rPr>
            </w:pPr>
            <w:r>
              <w:rPr>
                <w:b/>
                <w:bCs/>
                <w:szCs w:val="16"/>
              </w:rPr>
              <w:t>FY19</w:t>
            </w:r>
          </w:p>
        </w:tc>
        <w:tc>
          <w:tcPr>
            <w:tcW w:w="1604" w:type="dxa"/>
            <w:gridSpan w:val="2"/>
            <w:tcBorders>
              <w:top w:val="nil"/>
              <w:left w:val="single" w:sz="4" w:space="0" w:color="auto"/>
              <w:bottom w:val="single" w:sz="4" w:space="0" w:color="auto"/>
              <w:right w:val="single" w:sz="4" w:space="0" w:color="auto"/>
            </w:tcBorders>
            <w:shd w:val="clear" w:color="auto" w:fill="auto"/>
            <w:vAlign w:val="center"/>
          </w:tcPr>
          <w:p w:rsidR="00CF3B76" w:rsidRPr="008245E8" w:rsidRDefault="00CF3B76" w:rsidP="00CF3B76">
            <w:pPr>
              <w:rPr>
                <w:b/>
                <w:bCs/>
                <w:color w:val="auto"/>
                <w:szCs w:val="16"/>
              </w:rPr>
            </w:pPr>
            <w:r>
              <w:rPr>
                <w:b/>
                <w:bCs/>
                <w:color w:val="auto"/>
                <w:szCs w:val="16"/>
              </w:rPr>
              <w:t>2018</w:t>
            </w:r>
          </w:p>
        </w:tc>
        <w:tc>
          <w:tcPr>
            <w:tcW w:w="3076" w:type="dxa"/>
            <w:gridSpan w:val="4"/>
            <w:tcBorders>
              <w:top w:val="single" w:sz="12" w:space="0" w:color="auto"/>
              <w:left w:val="single" w:sz="4" w:space="0" w:color="auto"/>
              <w:bottom w:val="single" w:sz="4" w:space="0" w:color="auto"/>
              <w:right w:val="nil"/>
            </w:tcBorders>
            <w:shd w:val="clear" w:color="auto" w:fill="auto"/>
            <w:vAlign w:val="center"/>
          </w:tcPr>
          <w:p w:rsidR="00CF3B76" w:rsidRPr="008245E8" w:rsidRDefault="00CF3B76" w:rsidP="00CF3B76">
            <w:pPr>
              <w:rPr>
                <w:b/>
                <w:bCs/>
                <w:color w:val="auto"/>
                <w:szCs w:val="16"/>
              </w:rPr>
            </w:pPr>
            <w:r>
              <w:rPr>
                <w:b/>
                <w:bCs/>
                <w:color w:val="auto"/>
                <w:szCs w:val="16"/>
              </w:rPr>
              <w:t>2019</w:t>
            </w:r>
          </w:p>
        </w:tc>
      </w:tr>
      <w:tr w:rsidR="001C0E67" w:rsidRPr="008245E8" w:rsidTr="001734D6">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1C0E67" w:rsidRPr="008245E8" w:rsidRDefault="001C0E67" w:rsidP="001C0E67">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C0E67" w:rsidRPr="006619BF" w:rsidRDefault="001C0E67" w:rsidP="001C0E67">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C0E67" w:rsidRPr="006619BF" w:rsidRDefault="001C0E67" w:rsidP="001C0E67">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C0E67" w:rsidRPr="006619BF" w:rsidRDefault="001C0E67" w:rsidP="001C0E67">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0E67" w:rsidRPr="006619BF" w:rsidRDefault="001C0E67" w:rsidP="001C0E67">
            <w:pPr>
              <w:jc w:val="right"/>
              <w:rPr>
                <w:b/>
                <w:color w:val="auto"/>
                <w:sz w:val="14"/>
                <w:szCs w:val="14"/>
              </w:rPr>
            </w:pPr>
            <w:r>
              <w:rPr>
                <w:b/>
                <w:color w:val="auto"/>
                <w:sz w:val="14"/>
                <w:szCs w:val="14"/>
              </w:rPr>
              <w:t>Jul</w:t>
            </w:r>
          </w:p>
        </w:tc>
        <w:tc>
          <w:tcPr>
            <w:tcW w:w="79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C0E67" w:rsidRPr="006619BF" w:rsidRDefault="001C0E67" w:rsidP="001C0E67">
            <w:pPr>
              <w:jc w:val="right"/>
              <w:rPr>
                <w:b/>
                <w:color w:val="auto"/>
                <w:sz w:val="14"/>
                <w:szCs w:val="14"/>
              </w:rPr>
            </w:pPr>
            <w:r>
              <w:rPr>
                <w:b/>
                <w:color w:val="auto"/>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0E67" w:rsidRPr="006619BF" w:rsidRDefault="001C0E67" w:rsidP="001C0E67">
            <w:pPr>
              <w:jc w:val="right"/>
              <w:rPr>
                <w:b/>
                <w:color w:val="auto"/>
                <w:sz w:val="14"/>
                <w:szCs w:val="14"/>
              </w:rPr>
            </w:pPr>
            <w:r>
              <w:rPr>
                <w:b/>
                <w:color w:val="auto"/>
                <w:sz w:val="14"/>
                <w:szCs w:val="14"/>
              </w:rPr>
              <w:t>May</w:t>
            </w:r>
          </w:p>
        </w:tc>
        <w:tc>
          <w:tcPr>
            <w:tcW w:w="736" w:type="dxa"/>
            <w:tcBorders>
              <w:top w:val="single" w:sz="4" w:space="0" w:color="auto"/>
              <w:bottom w:val="single" w:sz="12" w:space="0" w:color="auto"/>
            </w:tcBorders>
            <w:shd w:val="clear" w:color="auto" w:fill="auto"/>
            <w:tcMar>
              <w:left w:w="43" w:type="dxa"/>
              <w:right w:w="43" w:type="dxa"/>
            </w:tcMar>
            <w:vAlign w:val="center"/>
          </w:tcPr>
          <w:p w:rsidR="001C0E67" w:rsidRPr="006619BF" w:rsidRDefault="001C0E67" w:rsidP="001C0E67">
            <w:pPr>
              <w:jc w:val="right"/>
              <w:rPr>
                <w:b/>
                <w:color w:val="auto"/>
                <w:sz w:val="14"/>
                <w:szCs w:val="14"/>
              </w:rPr>
            </w:pPr>
            <w:r>
              <w:rPr>
                <w:b/>
                <w:color w:val="auto"/>
                <w:sz w:val="14"/>
                <w:szCs w:val="14"/>
              </w:rPr>
              <w:t>Jun</w:t>
            </w:r>
          </w:p>
        </w:tc>
        <w:tc>
          <w:tcPr>
            <w:tcW w:w="810" w:type="dxa"/>
            <w:tcBorders>
              <w:top w:val="single" w:sz="4" w:space="0" w:color="auto"/>
              <w:bottom w:val="single" w:sz="12" w:space="0" w:color="auto"/>
            </w:tcBorders>
            <w:shd w:val="clear" w:color="auto" w:fill="auto"/>
            <w:tcMar>
              <w:left w:w="43" w:type="dxa"/>
              <w:right w:w="43" w:type="dxa"/>
            </w:tcMar>
            <w:vAlign w:val="center"/>
          </w:tcPr>
          <w:p w:rsidR="001C0E67" w:rsidRPr="006619BF" w:rsidRDefault="001C0E67" w:rsidP="001C0E67">
            <w:pPr>
              <w:jc w:val="right"/>
              <w:rPr>
                <w:b/>
                <w:color w:val="auto"/>
                <w:sz w:val="14"/>
                <w:szCs w:val="14"/>
              </w:rPr>
            </w:pPr>
            <w:r>
              <w:rPr>
                <w:b/>
                <w:color w:val="auto"/>
                <w:sz w:val="14"/>
                <w:szCs w:val="14"/>
              </w:rPr>
              <w:t>Jul</w:t>
            </w:r>
            <w:r w:rsidR="00D74EF3" w:rsidRPr="00D74EF3">
              <w:rPr>
                <w:b/>
                <w:color w:val="auto"/>
                <w:sz w:val="14"/>
                <w:szCs w:val="14"/>
                <w:vertAlign w:val="superscript"/>
              </w:rPr>
              <w:t xml:space="preserve"> R</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1C0E67" w:rsidRPr="006619BF" w:rsidRDefault="001C0E67" w:rsidP="001C0E67">
            <w:pPr>
              <w:jc w:val="right"/>
              <w:rPr>
                <w:b/>
                <w:color w:val="auto"/>
                <w:sz w:val="14"/>
                <w:szCs w:val="14"/>
              </w:rPr>
            </w:pPr>
            <w:r>
              <w:rPr>
                <w:b/>
                <w:color w:val="auto"/>
                <w:sz w:val="14"/>
                <w:szCs w:val="14"/>
              </w:rPr>
              <w:t xml:space="preserve">Aug </w:t>
            </w:r>
            <w:r w:rsidRPr="001C0E67">
              <w:rPr>
                <w:b/>
                <w:color w:val="auto"/>
                <w:sz w:val="14"/>
                <w:szCs w:val="14"/>
                <w:vertAlign w:val="superscript"/>
              </w:rPr>
              <w:t>P</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(5,711)</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(72,715)</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(181,113)</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(80,243)</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(122,120)</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(183,325)</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(181,113)</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(165,841)</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(141,348)</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505,554</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514,474</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603,734</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513,799</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488,483</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560,502</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603,734</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597,377</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604,995</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29,434</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35,023</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59,945</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42,422</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57,128</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45,318</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59,945</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46,764</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41,922</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159,099</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132,663</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162,224</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133,522</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91,373</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154,962</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162,224</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176,942</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186,961</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126,665</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145,176</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156,463</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142,251</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143,902</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147,613</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156,463</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146,481</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145,862</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17,727</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7,684</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440</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1,504</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2,835</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410</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440</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3,786</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327</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805</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1,548</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2,869</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1,500</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1,515</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1,561</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2,869</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1,484</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1,160</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169,719</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189,517</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217,047</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189,782</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188,809</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206,067</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217,047</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216,638</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223,417</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2,104</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2,864</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4,747</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2,818</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2,920</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4,570</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4,747</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5,282</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5,346</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511,265</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587,189</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784,847</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594,042</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610,603</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743,826</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784,847</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763,217</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746,342</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131,865</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178,373</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249,754</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180,240</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188,612</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243,188</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249,754</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252,183</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265,592</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369,598</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395,529</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520,753</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400,832</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406,983</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485,036</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520,753</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497,084</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465,238</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292</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2,564</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3,378</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2,247</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2,313</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2,734</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3,378</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2,998</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2,314</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9,510</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10,723</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10,962</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10,723</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12,695</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12,868</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10,962</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10,953</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13,198</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947,849</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1,080,602</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1,733,782</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1,030,501</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968,376</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1,369,622</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1,733,782</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1,393,471</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1,254,910</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268,288</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260,756</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349,631</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235,136</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254,481</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394,566</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349,631</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302,048</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293,621</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656,394</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808,104</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1,253,754</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767,474</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707,117</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867,665</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1,253,754</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973,246</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858,915</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23,167</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11,742</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130,397</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27,891</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6,778</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107,391</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130,397</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118,177</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102,373</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6,895,270</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6,747,146</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5,853,490</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6,430,354</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5,603,261</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5,617,924</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5,853,490</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6,957,111</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6,363,898</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7,132,523</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6,913,695</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6,168,989</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6,600,504</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5,750,641</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5,931,688</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6,168,989</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7,273,153</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6,660,188</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8,026,138</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8,009,697</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7,416,043</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7,677,205</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6,797,306</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7,054,392</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7,416,043</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8,428,351</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7,860,687</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7,801,618</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7,761,847</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7,148,054</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7,435,130</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6,555,760</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6,785,105</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7,148,054</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8,174,192</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7,582,538</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224,520</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247,850</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267,989</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242,074</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241,546</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269,287</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267,989</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254,159</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278,149</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893,614</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1,096,002</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1,247,054</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1,076,701</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1,046,665</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1,122,704</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1,247,054</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1,155,198</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1,200,500</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893,614</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1,096,002</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1,247,054</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1,076,701</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1,046,665</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1,122,704</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1,247,054</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1,155,198</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1,200,500</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(237,253)</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(166,549)</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(315,499)</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(170,150)</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(147,380)</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(313,764)</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(315,499)</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(316,043)</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(296,290)</w:t>
            </w:r>
          </w:p>
        </w:tc>
      </w:tr>
      <w:tr w:rsidR="004F48B4" w:rsidRPr="008245E8" w:rsidTr="001734D6">
        <w:trPr>
          <w:trHeight w:val="363"/>
        </w:trPr>
        <w:tc>
          <w:tcPr>
            <w:tcW w:w="2930" w:type="dxa"/>
            <w:tcBorders>
              <w:top w:val="nil"/>
              <w:left w:val="nil"/>
              <w:bottom w:val="nil"/>
              <w:right w:val="nil"/>
            </w:tcBorders>
            <w:shd w:val="clear" w:color="auto" w:fill="auto"/>
            <w:noWrap/>
            <w:vAlign w:val="center"/>
            <w:hideMark/>
          </w:tcPr>
          <w:p w:rsidR="004F48B4" w:rsidRPr="008245E8" w:rsidRDefault="004F48B4" w:rsidP="004F48B4">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483,331</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602,715</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565,321</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605,246</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597,663</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556,668</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565,321</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563,087</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547,656</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pPr>
            <w:r w:rsidRPr="00A264DB">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483,331</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602,715</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565,321</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605,246</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597,663</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556,668</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565,321</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563,087</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547,656</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720,584</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769,264</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880,820</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775,396</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745,043</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870,433</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880,820</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879,130</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843,946</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715,991</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760,398</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871,915</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766,472</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736,060</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861,360</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871,915</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870,127</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834,844</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4,593</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8,866</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8,905</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8,924</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8,983</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9,073</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8,905</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9,003</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9,102</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6,251,044</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7,318,333</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8,327,439</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7,343,385</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7,418,869</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8,265,979</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8,327,439</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8,201,124</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8,211,919</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98,726</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105,183</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103,731</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101,334</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104,904</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100,825</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103,731</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98,072</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106,847</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1,025,871</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1,268,801</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1,581,152</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1,279,511</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1,312,370</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1,589,720</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1,581,152</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1,590,409</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1,587,015</w:t>
            </w:r>
          </w:p>
        </w:tc>
      </w:tr>
      <w:tr w:rsidR="004F48B4" w:rsidRPr="008245E8" w:rsidTr="001734D6">
        <w:trPr>
          <w:trHeight w:val="245"/>
        </w:trPr>
        <w:tc>
          <w:tcPr>
            <w:tcW w:w="2930" w:type="dxa"/>
            <w:tcBorders>
              <w:top w:val="nil"/>
              <w:left w:val="nil"/>
              <w:bottom w:val="nil"/>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4,059,627</w:t>
            </w:r>
          </w:p>
        </w:tc>
        <w:tc>
          <w:tcPr>
            <w:tcW w:w="741"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4,700,394</w:t>
            </w:r>
          </w:p>
        </w:tc>
        <w:tc>
          <w:tcPr>
            <w:tcW w:w="807"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5,224,536</w:t>
            </w:r>
          </w:p>
        </w:tc>
        <w:tc>
          <w:tcPr>
            <w:tcW w:w="81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4,695,581</w:t>
            </w:r>
          </w:p>
        </w:tc>
        <w:tc>
          <w:tcPr>
            <w:tcW w:w="794"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4,720,015</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5,172,032</w:t>
            </w:r>
          </w:p>
        </w:tc>
        <w:tc>
          <w:tcPr>
            <w:tcW w:w="736"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5,224,536</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5,087,807</w:t>
            </w:r>
          </w:p>
        </w:tc>
        <w:tc>
          <w:tcPr>
            <w:tcW w:w="810"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5,091,599</w:t>
            </w:r>
          </w:p>
        </w:tc>
      </w:tr>
      <w:tr w:rsidR="004F48B4" w:rsidRPr="008245E8" w:rsidTr="001734D6">
        <w:trPr>
          <w:trHeight w:val="245"/>
        </w:trPr>
        <w:tc>
          <w:tcPr>
            <w:tcW w:w="2930" w:type="dxa"/>
            <w:tcBorders>
              <w:top w:val="nil"/>
              <w:left w:val="nil"/>
              <w:bottom w:val="single" w:sz="12" w:space="0" w:color="auto"/>
              <w:right w:val="nil"/>
            </w:tcBorders>
            <w:shd w:val="clear" w:color="auto" w:fill="auto"/>
            <w:noWrap/>
            <w:vAlign w:val="center"/>
            <w:hideMark/>
          </w:tcPr>
          <w:p w:rsidR="004F48B4" w:rsidRPr="008245E8" w:rsidRDefault="004F48B4" w:rsidP="004F48B4">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1,066,820</w:t>
            </w:r>
          </w:p>
        </w:tc>
        <w:tc>
          <w:tcPr>
            <w:tcW w:w="741" w:type="dxa"/>
            <w:tcBorders>
              <w:top w:val="nil"/>
              <w:left w:val="nil"/>
              <w:bottom w:val="single" w:sz="12" w:space="0" w:color="auto"/>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1,243,954</w:t>
            </w:r>
          </w:p>
        </w:tc>
        <w:tc>
          <w:tcPr>
            <w:tcW w:w="807" w:type="dxa"/>
            <w:tcBorders>
              <w:top w:val="nil"/>
              <w:left w:val="nil"/>
              <w:bottom w:val="single" w:sz="12" w:space="0" w:color="auto"/>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1,418,020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1,266,959</w:t>
            </w:r>
          </w:p>
        </w:tc>
        <w:tc>
          <w:tcPr>
            <w:tcW w:w="794" w:type="dxa"/>
            <w:tcBorders>
              <w:top w:val="nil"/>
              <w:left w:val="nil"/>
              <w:bottom w:val="single" w:sz="12" w:space="0" w:color="auto"/>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1,281,581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1,403,403</w:t>
            </w:r>
          </w:p>
        </w:tc>
        <w:tc>
          <w:tcPr>
            <w:tcW w:w="736" w:type="dxa"/>
            <w:tcBorders>
              <w:top w:val="nil"/>
              <w:left w:val="nil"/>
              <w:bottom w:val="single" w:sz="12" w:space="0" w:color="auto"/>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1,418,020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1,424,836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1,426,457</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CF3B76" w:rsidRPr="00E5171C" w:rsidTr="001734D6">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CF3B76" w:rsidRPr="00E5171C" w:rsidRDefault="00CF3B76" w:rsidP="00CF3B76">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CF3B76" w:rsidRPr="00E5171C" w:rsidRDefault="00CF3B76" w:rsidP="00CF3B76">
            <w:pPr>
              <w:jc w:val="right"/>
              <w:rPr>
                <w:b/>
                <w:bCs/>
                <w:color w:val="auto"/>
                <w:szCs w:val="16"/>
              </w:rPr>
            </w:pPr>
            <w:r w:rsidRPr="009311D7">
              <w:rPr>
                <w:b/>
                <w:bCs/>
                <w:color w:val="auto"/>
                <w:szCs w:val="16"/>
              </w:rPr>
              <w:t>FY17</w:t>
            </w:r>
          </w:p>
        </w:tc>
        <w:tc>
          <w:tcPr>
            <w:tcW w:w="810" w:type="dxa"/>
            <w:vMerge w:val="restart"/>
            <w:tcBorders>
              <w:top w:val="nil"/>
              <w:left w:val="single" w:sz="4" w:space="0" w:color="auto"/>
              <w:right w:val="single" w:sz="4" w:space="0" w:color="auto"/>
            </w:tcBorders>
            <w:shd w:val="clear" w:color="auto" w:fill="auto"/>
            <w:vAlign w:val="center"/>
          </w:tcPr>
          <w:p w:rsidR="00CF3B76" w:rsidRPr="002D5FD9" w:rsidRDefault="00CF3B76" w:rsidP="00CF3B76">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CF3B76" w:rsidRPr="002D5FD9" w:rsidRDefault="00CF3B76" w:rsidP="00A250BE">
            <w:pPr>
              <w:jc w:val="right"/>
              <w:rPr>
                <w:b/>
                <w:bCs/>
                <w:szCs w:val="16"/>
              </w:rPr>
            </w:pPr>
            <w:r>
              <w:rPr>
                <w:b/>
                <w:bCs/>
                <w:szCs w:val="16"/>
              </w:rPr>
              <w:t>FY19</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CF3B76" w:rsidRPr="00E5171C" w:rsidRDefault="00CF3B76" w:rsidP="00CF3B76">
            <w:pPr>
              <w:rPr>
                <w:b/>
                <w:bCs/>
                <w:color w:val="auto"/>
                <w:szCs w:val="16"/>
              </w:rPr>
            </w:pPr>
            <w:r>
              <w:rPr>
                <w:b/>
                <w:bCs/>
                <w:color w:val="auto"/>
                <w:szCs w:val="16"/>
              </w:rPr>
              <w:t>2018</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CF3B76" w:rsidRPr="00E5171C" w:rsidRDefault="00CF3B76" w:rsidP="00CF3B76">
            <w:pPr>
              <w:rPr>
                <w:b/>
                <w:bCs/>
                <w:color w:val="auto"/>
                <w:szCs w:val="16"/>
              </w:rPr>
            </w:pPr>
            <w:r>
              <w:rPr>
                <w:b/>
                <w:bCs/>
                <w:color w:val="auto"/>
                <w:szCs w:val="16"/>
              </w:rPr>
              <w:t>2019</w:t>
            </w:r>
          </w:p>
        </w:tc>
      </w:tr>
      <w:tr w:rsidR="001C0E67" w:rsidRPr="00E5171C" w:rsidTr="001734D6">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1C0E67" w:rsidRPr="00E5171C" w:rsidRDefault="001C0E67" w:rsidP="001C0E67">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C0E67" w:rsidRPr="006619BF" w:rsidRDefault="001C0E67" w:rsidP="001C0E67">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C0E67" w:rsidRPr="006619BF" w:rsidRDefault="001C0E67" w:rsidP="001C0E67">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C0E67" w:rsidRPr="006619BF" w:rsidRDefault="001C0E67" w:rsidP="001C0E67">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0E67" w:rsidRPr="006619BF" w:rsidRDefault="001C0E67" w:rsidP="001C0E67">
            <w:pPr>
              <w:jc w:val="right"/>
              <w:rPr>
                <w:b/>
                <w:color w:val="auto"/>
                <w:sz w:val="14"/>
                <w:szCs w:val="14"/>
              </w:rPr>
            </w:pPr>
            <w:r>
              <w:rPr>
                <w:b/>
                <w:color w:val="auto"/>
                <w:sz w:val="14"/>
                <w:szCs w:val="14"/>
              </w:rPr>
              <w:t>Jul</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C0E67" w:rsidRPr="006619BF" w:rsidRDefault="001C0E67" w:rsidP="001C0E67">
            <w:pPr>
              <w:jc w:val="right"/>
              <w:rPr>
                <w:b/>
                <w:color w:val="auto"/>
                <w:sz w:val="14"/>
                <w:szCs w:val="14"/>
              </w:rPr>
            </w:pPr>
            <w:r>
              <w:rPr>
                <w:b/>
                <w:color w:val="auto"/>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0E67" w:rsidRPr="006619BF" w:rsidRDefault="001C0E67" w:rsidP="001C0E67">
            <w:pPr>
              <w:jc w:val="right"/>
              <w:rPr>
                <w:b/>
                <w:color w:val="auto"/>
                <w:sz w:val="14"/>
                <w:szCs w:val="14"/>
              </w:rPr>
            </w:pPr>
            <w:r>
              <w:rPr>
                <w:b/>
                <w:color w:val="auto"/>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1C0E67" w:rsidRPr="006619BF" w:rsidRDefault="001C0E67" w:rsidP="001C0E67">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1C0E67" w:rsidRPr="006619BF" w:rsidRDefault="001C0E67" w:rsidP="001C0E67">
            <w:pPr>
              <w:jc w:val="right"/>
              <w:rPr>
                <w:b/>
                <w:color w:val="auto"/>
                <w:sz w:val="14"/>
                <w:szCs w:val="14"/>
              </w:rPr>
            </w:pPr>
            <w:r>
              <w:rPr>
                <w:b/>
                <w:color w:val="auto"/>
                <w:sz w:val="14"/>
                <w:szCs w:val="14"/>
              </w:rPr>
              <w:t>Jul</w:t>
            </w:r>
            <w:r w:rsidR="00D74EF3">
              <w:rPr>
                <w:b/>
                <w:color w:val="auto"/>
                <w:sz w:val="14"/>
                <w:szCs w:val="14"/>
              </w:rPr>
              <w:t xml:space="preserve"> </w:t>
            </w:r>
            <w:r w:rsidR="00D74EF3" w:rsidRPr="00D74EF3">
              <w:rPr>
                <w:b/>
                <w:color w:val="auto"/>
                <w:sz w:val="14"/>
                <w:szCs w:val="14"/>
                <w:vertAlign w:val="superscript"/>
              </w:rPr>
              <w:t>R</w:t>
            </w:r>
          </w:p>
        </w:tc>
        <w:tc>
          <w:tcPr>
            <w:tcW w:w="792" w:type="dxa"/>
            <w:tcBorders>
              <w:top w:val="single" w:sz="4" w:space="0" w:color="auto"/>
              <w:bottom w:val="single" w:sz="12" w:space="0" w:color="auto"/>
              <w:right w:val="nil"/>
            </w:tcBorders>
            <w:shd w:val="clear" w:color="auto" w:fill="auto"/>
            <w:tcMar>
              <w:left w:w="43" w:type="dxa"/>
              <w:right w:w="43" w:type="dxa"/>
            </w:tcMar>
            <w:vAlign w:val="center"/>
          </w:tcPr>
          <w:p w:rsidR="001C0E67" w:rsidRPr="006619BF" w:rsidRDefault="001C0E67" w:rsidP="001C0E67">
            <w:pPr>
              <w:jc w:val="right"/>
              <w:rPr>
                <w:b/>
                <w:color w:val="auto"/>
                <w:sz w:val="14"/>
                <w:szCs w:val="14"/>
              </w:rPr>
            </w:pPr>
            <w:r>
              <w:rPr>
                <w:b/>
                <w:color w:val="auto"/>
                <w:sz w:val="14"/>
                <w:szCs w:val="14"/>
              </w:rPr>
              <w:t xml:space="preserve">Aug </w:t>
            </w:r>
            <w:r w:rsidRPr="001C0E67">
              <w:rPr>
                <w:b/>
                <w:color w:val="auto"/>
                <w:sz w:val="14"/>
                <w:szCs w:val="14"/>
                <w:vertAlign w:val="superscript"/>
              </w:rPr>
              <w:t>P</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1,380,753</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1,861,660</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1,002,384</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1,451,331</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1,380,753</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2,472,666</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1,695,014</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12,540,355</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11,210,765</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11,174,349</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11,771,095</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12,540,355</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12,214,003</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12,125,950</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9,470,778</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8,655,104</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8,592,282</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8,912,186</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9,470,778</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9,279,761</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9,147,627</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230,162</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236,598</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199,478</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225,854</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230,162</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231,789</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219,407</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383,870</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349,438</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359,082</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367,831</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383,870</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404,097</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405,009</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2,517,224</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2,467,568</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2,440,068</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2,389,861</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2,517,224</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2,408,657</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2,456,833</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6,339,522</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5,601,500</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5,593,655</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5,928,640</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6,339,522</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6,235,219</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6,066,377</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3,069,577</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2,555,661</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2,582,066</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2,858,909</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3,069,577</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2,934,242</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2,978,323</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107,541</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69,243</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65,434</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78,947</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107,541</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73,908</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84,288</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492,359</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422,475</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429,761</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460,312</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492,359</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493,555</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510,505</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907,644</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800,559</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796,751</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819,047</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907,644</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807,567</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856,350</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1,562,033</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1,263,384</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1,290,121</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1,500,603</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1,562,033</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1,559,212</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1,527,181</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17</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16</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12</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13</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3</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36,745</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19,870</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25,431</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38,369</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36,745</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37,647</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37,837</w:t>
            </w:r>
          </w:p>
        </w:tc>
      </w:tr>
      <w:tr w:rsidR="004F48B4" w:rsidRPr="00E5171C" w:rsidTr="001734D6">
        <w:trPr>
          <w:trHeight w:val="245"/>
        </w:trPr>
        <w:tc>
          <w:tcPr>
            <w:tcW w:w="3076" w:type="dxa"/>
            <w:tcBorders>
              <w:top w:val="nil"/>
              <w:left w:val="nil"/>
              <w:bottom w:val="nil"/>
              <w:right w:val="nil"/>
            </w:tcBorders>
            <w:shd w:val="clear" w:color="auto" w:fill="auto"/>
            <w:vAlign w:val="center"/>
            <w:hideMark/>
          </w:tcPr>
          <w:p w:rsidR="004F48B4" w:rsidRPr="00E5171C" w:rsidRDefault="004F48B4" w:rsidP="004F48B4">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i/>
                <w:iCs/>
                <w:sz w:val="14"/>
                <w:szCs w:val="14"/>
              </w:rPr>
            </w:pPr>
            <w:r>
              <w:rPr>
                <w:i/>
                <w:iCs/>
                <w:sz w:val="14"/>
                <w:szCs w:val="14"/>
              </w:rPr>
              <w:t>19,053</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i/>
                <w:iCs/>
                <w:sz w:val="14"/>
                <w:szCs w:val="14"/>
              </w:rPr>
            </w:pPr>
            <w:r>
              <w:rPr>
                <w:i/>
                <w:iCs/>
                <w:sz w:val="14"/>
                <w:szCs w:val="14"/>
              </w:rPr>
              <w:t>13,331</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i/>
                <w:iCs/>
                <w:sz w:val="14"/>
                <w:szCs w:val="14"/>
              </w:rPr>
            </w:pPr>
            <w:r>
              <w:rPr>
                <w:i/>
                <w:iCs/>
                <w:sz w:val="14"/>
                <w:szCs w:val="14"/>
              </w:rPr>
              <w:t>17,418</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i/>
                <w:iCs/>
                <w:sz w:val="14"/>
                <w:szCs w:val="14"/>
              </w:rPr>
            </w:pPr>
            <w:r>
              <w:rPr>
                <w:i/>
                <w:iCs/>
                <w:sz w:val="14"/>
                <w:szCs w:val="14"/>
              </w:rPr>
              <w:t>20,460</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i/>
                <w:iCs/>
                <w:sz w:val="14"/>
                <w:szCs w:val="14"/>
              </w:rPr>
            </w:pPr>
            <w:r>
              <w:rPr>
                <w:i/>
                <w:iCs/>
                <w:sz w:val="14"/>
                <w:szCs w:val="14"/>
              </w:rPr>
              <w:t>19,053</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i/>
                <w:iCs/>
                <w:sz w:val="14"/>
                <w:szCs w:val="14"/>
              </w:rPr>
            </w:pPr>
            <w:r>
              <w:rPr>
                <w:i/>
                <w:iCs/>
                <w:sz w:val="14"/>
                <w:szCs w:val="14"/>
              </w:rPr>
              <w:t>19,782</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i/>
                <w:iCs/>
                <w:sz w:val="14"/>
                <w:szCs w:val="14"/>
              </w:rPr>
            </w:pPr>
            <w:r>
              <w:rPr>
                <w:i/>
                <w:iCs/>
                <w:sz w:val="14"/>
                <w:szCs w:val="14"/>
              </w:rPr>
              <w:t>19,790</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15,119</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12,416</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11,308</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14,904</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15,119</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19,809</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18,653</w:t>
            </w:r>
          </w:p>
        </w:tc>
      </w:tr>
      <w:tr w:rsidR="004F48B4" w:rsidRPr="00E5171C" w:rsidTr="001734D6">
        <w:trPr>
          <w:trHeight w:val="245"/>
        </w:trPr>
        <w:tc>
          <w:tcPr>
            <w:tcW w:w="3076" w:type="dxa"/>
            <w:tcBorders>
              <w:top w:val="nil"/>
              <w:left w:val="nil"/>
              <w:bottom w:val="nil"/>
              <w:right w:val="nil"/>
            </w:tcBorders>
            <w:shd w:val="clear" w:color="auto" w:fill="auto"/>
            <w:vAlign w:val="center"/>
            <w:hideMark/>
          </w:tcPr>
          <w:p w:rsidR="004F48B4" w:rsidRPr="00E5171C" w:rsidRDefault="004F48B4" w:rsidP="004F48B4">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i/>
                <w:iCs/>
                <w:sz w:val="14"/>
                <w:szCs w:val="14"/>
              </w:rPr>
            </w:pPr>
            <w:r>
              <w:rPr>
                <w:i/>
                <w:iCs/>
                <w:sz w:val="14"/>
                <w:szCs w:val="14"/>
              </w:rPr>
              <w:t>6,490</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i/>
                <w:iCs/>
                <w:sz w:val="14"/>
                <w:szCs w:val="14"/>
              </w:rPr>
            </w:pPr>
            <w:r>
              <w:rPr>
                <w:i/>
                <w:iCs/>
                <w:sz w:val="14"/>
                <w:szCs w:val="14"/>
              </w:rPr>
              <w:t>3,083</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i/>
                <w:iCs/>
                <w:sz w:val="14"/>
                <w:szCs w:val="14"/>
              </w:rPr>
            </w:pPr>
            <w:r>
              <w:rPr>
                <w:i/>
                <w:iCs/>
                <w:sz w:val="14"/>
                <w:szCs w:val="14"/>
              </w:rPr>
              <w:t>1,975</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i/>
                <w:iCs/>
                <w:sz w:val="14"/>
                <w:szCs w:val="14"/>
              </w:rPr>
            </w:pPr>
            <w:r>
              <w:rPr>
                <w:i/>
                <w:iCs/>
                <w:sz w:val="14"/>
                <w:szCs w:val="14"/>
              </w:rPr>
              <w:t>6,185</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i/>
                <w:iCs/>
                <w:sz w:val="14"/>
                <w:szCs w:val="14"/>
              </w:rPr>
            </w:pPr>
            <w:r>
              <w:rPr>
                <w:i/>
                <w:iCs/>
                <w:sz w:val="14"/>
                <w:szCs w:val="14"/>
              </w:rPr>
              <w:t>6,490</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i/>
                <w:iCs/>
                <w:sz w:val="14"/>
                <w:szCs w:val="14"/>
              </w:rPr>
            </w:pPr>
            <w:r>
              <w:rPr>
                <w:i/>
                <w:iCs/>
                <w:sz w:val="14"/>
                <w:szCs w:val="14"/>
              </w:rPr>
              <w:t>11,180</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i/>
                <w:iCs/>
                <w:sz w:val="14"/>
                <w:szCs w:val="14"/>
              </w:rPr>
            </w:pPr>
            <w:r>
              <w:rPr>
                <w:i/>
                <w:iCs/>
                <w:sz w:val="14"/>
                <w:szCs w:val="14"/>
              </w:rPr>
              <w:t>10,024</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10,259</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5,045</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4,088</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5,397</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10,259</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8,108</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5,873</w:t>
            </w:r>
          </w:p>
        </w:tc>
      </w:tr>
      <w:tr w:rsidR="004F48B4" w:rsidRPr="00E5171C" w:rsidTr="00802D2F">
        <w:trPr>
          <w:trHeight w:val="245"/>
        </w:trPr>
        <w:tc>
          <w:tcPr>
            <w:tcW w:w="3076" w:type="dxa"/>
            <w:tcBorders>
              <w:top w:val="nil"/>
              <w:left w:val="nil"/>
              <w:bottom w:val="nil"/>
              <w:right w:val="nil"/>
            </w:tcBorders>
            <w:shd w:val="clear" w:color="auto" w:fill="auto"/>
            <w:vAlign w:val="center"/>
            <w:hideMark/>
          </w:tcPr>
          <w:p w:rsidR="004F48B4" w:rsidRPr="00E5171C" w:rsidRDefault="004F48B4" w:rsidP="004F48B4">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i/>
                <w:iCs/>
                <w:sz w:val="14"/>
                <w:szCs w:val="14"/>
              </w:rPr>
            </w:pPr>
            <w:r>
              <w:rPr>
                <w:i/>
                <w:iCs/>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tcPr>
          <w:p w:rsidR="004F48B4" w:rsidRDefault="004F48B4" w:rsidP="004F48B4">
            <w:pPr>
              <w:jc w:val="right"/>
            </w:pPr>
            <w:r w:rsidRPr="00725A38">
              <w:rPr>
                <w:i/>
                <w:iCs/>
                <w:sz w:val="14"/>
                <w:szCs w:val="14"/>
              </w:rPr>
              <w:t>..</w:t>
            </w:r>
          </w:p>
        </w:tc>
        <w:tc>
          <w:tcPr>
            <w:tcW w:w="792" w:type="dxa"/>
            <w:tcBorders>
              <w:top w:val="nil"/>
              <w:left w:val="nil"/>
              <w:bottom w:val="nil"/>
              <w:right w:val="nil"/>
            </w:tcBorders>
            <w:shd w:val="clear" w:color="auto" w:fill="auto"/>
            <w:noWrap/>
            <w:tcMar>
              <w:left w:w="43" w:type="dxa"/>
              <w:right w:w="43" w:type="dxa"/>
            </w:tcMar>
          </w:tcPr>
          <w:p w:rsidR="004F48B4" w:rsidRDefault="004F48B4" w:rsidP="004F48B4">
            <w:pPr>
              <w:jc w:val="right"/>
            </w:pPr>
            <w:r w:rsidRPr="00725A38">
              <w:rPr>
                <w:i/>
                <w:iCs/>
                <w:sz w:val="14"/>
                <w:szCs w:val="14"/>
              </w:rPr>
              <w:t>..</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73</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122</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125</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80</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73</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75</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77</w:t>
            </w:r>
          </w:p>
        </w:tc>
      </w:tr>
      <w:tr w:rsidR="004F48B4" w:rsidRPr="00E5171C" w:rsidTr="001734D6">
        <w:trPr>
          <w:trHeight w:val="245"/>
        </w:trPr>
        <w:tc>
          <w:tcPr>
            <w:tcW w:w="3076" w:type="dxa"/>
            <w:tcBorders>
              <w:top w:val="nil"/>
              <w:left w:val="nil"/>
              <w:bottom w:val="nil"/>
              <w:right w:val="nil"/>
            </w:tcBorders>
            <w:shd w:val="clear" w:color="auto" w:fill="auto"/>
            <w:vAlign w:val="center"/>
            <w:hideMark/>
          </w:tcPr>
          <w:p w:rsidR="004F48B4" w:rsidRPr="00E5171C" w:rsidRDefault="004F48B4" w:rsidP="004F48B4">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1,721,939</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1,681,496</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1,682,271</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1,693,405</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1,721,939</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1,722,825</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1,724,346</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633,142</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610,290</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612,973</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629,339</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633,142</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634,377</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633,937</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502,458</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454,468</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459,641</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485,880</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502,458</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542,721</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523,542</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439,152</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379,844</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380,571</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430,290</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439,152</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408,318</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429,872</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147,187</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236,894</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229,086</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sz w:val="14"/>
                <w:szCs w:val="14"/>
              </w:rPr>
            </w:pPr>
            <w:r>
              <w:rPr>
                <w:sz w:val="14"/>
                <w:szCs w:val="14"/>
              </w:rPr>
              <w:t>147,896</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147,187</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sz w:val="14"/>
                <w:szCs w:val="14"/>
              </w:rPr>
            </w:pPr>
            <w:r>
              <w:rPr>
                <w:sz w:val="14"/>
                <w:szCs w:val="14"/>
              </w:rPr>
              <w:t>137,409</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sz w:val="14"/>
                <w:szCs w:val="14"/>
              </w:rPr>
            </w:pPr>
            <w:r>
              <w:rPr>
                <w:sz w:val="14"/>
                <w:szCs w:val="14"/>
              </w:rPr>
              <w:t>136,994</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28,485</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(67,149)</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(31,334)</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95,763</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28,485</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(89,134)</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81,767</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1,735,981</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1,430,601</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1,414,760</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1,739,122</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1,735,981</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1,778,105</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1,847,265</w:t>
            </w:r>
          </w:p>
        </w:tc>
      </w:tr>
      <w:tr w:rsidR="004F48B4" w:rsidRPr="00E5171C" w:rsidTr="001734D6">
        <w:trPr>
          <w:trHeight w:val="245"/>
        </w:trPr>
        <w:tc>
          <w:tcPr>
            <w:tcW w:w="3076" w:type="dxa"/>
            <w:tcBorders>
              <w:top w:val="nil"/>
              <w:left w:val="nil"/>
              <w:bottom w:val="nil"/>
              <w:right w:val="nil"/>
            </w:tcBorders>
            <w:shd w:val="clear" w:color="auto" w:fill="auto"/>
            <w:noWrap/>
            <w:vAlign w:val="center"/>
            <w:hideMark/>
          </w:tcPr>
          <w:p w:rsidR="004F48B4" w:rsidRPr="00E5171C" w:rsidRDefault="004F48B4" w:rsidP="004F48B4">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1,670,805</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1,442,747</w:t>
            </w:r>
          </w:p>
        </w:tc>
        <w:tc>
          <w:tcPr>
            <w:tcW w:w="81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1,421,397</w:t>
            </w:r>
          </w:p>
        </w:tc>
        <w:tc>
          <w:tcPr>
            <w:tcW w:w="720" w:type="dxa"/>
            <w:tcBorders>
              <w:top w:val="nil"/>
              <w:left w:val="nil"/>
              <w:bottom w:val="nil"/>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1,597,857</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1,670,805</w:t>
            </w:r>
          </w:p>
        </w:tc>
        <w:tc>
          <w:tcPr>
            <w:tcW w:w="720" w:type="dxa"/>
            <w:tcBorders>
              <w:top w:val="nil"/>
              <w:left w:val="nil"/>
              <w:bottom w:val="nil"/>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1,682,612</w:t>
            </w:r>
          </w:p>
        </w:tc>
        <w:tc>
          <w:tcPr>
            <w:tcW w:w="792" w:type="dxa"/>
            <w:tcBorders>
              <w:top w:val="nil"/>
              <w:left w:val="nil"/>
              <w:bottom w:val="nil"/>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1,673,182</w:t>
            </w:r>
          </w:p>
        </w:tc>
      </w:tr>
      <w:tr w:rsidR="004F48B4" w:rsidRPr="00E5171C" w:rsidTr="001734D6">
        <w:trPr>
          <w:trHeight w:val="245"/>
        </w:trPr>
        <w:tc>
          <w:tcPr>
            <w:tcW w:w="3076" w:type="dxa"/>
            <w:tcBorders>
              <w:top w:val="nil"/>
              <w:left w:val="nil"/>
              <w:bottom w:val="single" w:sz="12" w:space="0" w:color="auto"/>
              <w:right w:val="nil"/>
            </w:tcBorders>
            <w:shd w:val="clear" w:color="auto" w:fill="auto"/>
            <w:noWrap/>
            <w:vAlign w:val="center"/>
            <w:hideMark/>
          </w:tcPr>
          <w:p w:rsidR="004F48B4" w:rsidRPr="00E5171C" w:rsidRDefault="004F48B4" w:rsidP="004F48B4">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(36,691)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(55,003)</w:t>
            </w:r>
          </w:p>
        </w:tc>
        <w:tc>
          <w:tcPr>
            <w:tcW w:w="810" w:type="dxa"/>
            <w:tcBorders>
              <w:top w:val="nil"/>
              <w:left w:val="nil"/>
              <w:bottom w:val="single" w:sz="12" w:space="0" w:color="auto"/>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(24,697)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F48B4" w:rsidRDefault="004F48B4" w:rsidP="004F48B4">
            <w:pPr>
              <w:jc w:val="right"/>
              <w:rPr>
                <w:b/>
                <w:bCs/>
                <w:sz w:val="14"/>
                <w:szCs w:val="14"/>
              </w:rPr>
            </w:pPr>
            <w:r>
              <w:rPr>
                <w:b/>
                <w:bCs/>
                <w:sz w:val="14"/>
                <w:szCs w:val="14"/>
              </w:rPr>
              <w:t>(45,501)</w:t>
            </w:r>
          </w:p>
        </w:tc>
        <w:tc>
          <w:tcPr>
            <w:tcW w:w="720" w:type="dxa"/>
            <w:tcBorders>
              <w:top w:val="nil"/>
              <w:left w:val="nil"/>
              <w:bottom w:val="single" w:sz="12" w:space="0" w:color="auto"/>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(36,691)</w:t>
            </w:r>
          </w:p>
        </w:tc>
        <w:tc>
          <w:tcPr>
            <w:tcW w:w="720" w:type="dxa"/>
            <w:tcBorders>
              <w:top w:val="nil"/>
              <w:left w:val="nil"/>
              <w:bottom w:val="single" w:sz="12" w:space="0" w:color="auto"/>
              <w:right w:val="nil"/>
            </w:tcBorders>
            <w:shd w:val="clear" w:color="auto" w:fill="auto"/>
            <w:tcMar>
              <w:left w:w="43" w:type="dxa"/>
              <w:right w:w="43" w:type="dxa"/>
            </w:tcMar>
            <w:vAlign w:val="center"/>
          </w:tcPr>
          <w:p w:rsidR="004F48B4" w:rsidRDefault="004F48B4" w:rsidP="004F48B4">
            <w:pPr>
              <w:jc w:val="right"/>
              <w:rPr>
                <w:b/>
                <w:bCs/>
                <w:sz w:val="14"/>
                <w:szCs w:val="14"/>
              </w:rPr>
            </w:pPr>
            <w:r>
              <w:rPr>
                <w:b/>
                <w:bCs/>
                <w:sz w:val="14"/>
                <w:szCs w:val="14"/>
              </w:rPr>
              <w:t>(184,627)</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4F48B4" w:rsidRDefault="004F48B4" w:rsidP="004F48B4">
            <w:pPr>
              <w:jc w:val="right"/>
              <w:rPr>
                <w:b/>
                <w:bCs/>
                <w:sz w:val="14"/>
                <w:szCs w:val="14"/>
              </w:rPr>
            </w:pPr>
            <w:r>
              <w:rPr>
                <w:b/>
                <w:bCs/>
                <w:sz w:val="14"/>
                <w:szCs w:val="14"/>
              </w:rPr>
              <w:t>(92,316)</w:t>
            </w:r>
          </w:p>
        </w:tc>
      </w:tr>
      <w:tr w:rsidR="001C0E67"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C37C45" w:rsidRDefault="00C37C45" w:rsidP="00C37C45">
            <w:pPr>
              <w:jc w:val="right"/>
              <w:rPr>
                <w:b/>
                <w:bCs/>
                <w:color w:val="auto"/>
                <w:sz w:val="14"/>
                <w:szCs w:val="14"/>
              </w:rPr>
            </w:pPr>
            <w:r>
              <w:rPr>
                <w:sz w:val="14"/>
                <w:szCs w:val="14"/>
              </w:rPr>
              <w:t>Source: Statistics &amp; Data Warehouse Department SBP</w:t>
            </w:r>
          </w:p>
          <w:p w:rsidR="001C0E67" w:rsidRPr="006A1E59" w:rsidRDefault="001C0E67" w:rsidP="001C0E67">
            <w:pPr>
              <w:jc w:val="left"/>
              <w:rPr>
                <w:rFonts w:ascii="Calibri" w:hAnsi="Calibri"/>
                <w:sz w:val="14"/>
                <w:szCs w:val="14"/>
              </w:rPr>
            </w:pPr>
            <w:r w:rsidRPr="006A1E59">
              <w:rPr>
                <w:b/>
                <w:bCs/>
                <w:color w:val="auto"/>
                <w:sz w:val="14"/>
                <w:szCs w:val="14"/>
              </w:rPr>
              <w:t xml:space="preserve">Note:  </w:t>
            </w:r>
          </w:p>
        </w:tc>
      </w:tr>
      <w:tr w:rsidR="001C0E67" w:rsidRPr="00E5171C" w:rsidTr="00916320">
        <w:trPr>
          <w:trHeight w:val="942"/>
        </w:trPr>
        <w:tc>
          <w:tcPr>
            <w:tcW w:w="9990" w:type="dxa"/>
            <w:gridSpan w:val="10"/>
            <w:tcBorders>
              <w:top w:val="nil"/>
              <w:left w:val="nil"/>
              <w:bottom w:val="nil"/>
              <w:right w:val="nil"/>
            </w:tcBorders>
            <w:shd w:val="clear" w:color="auto" w:fill="auto"/>
            <w:noWrap/>
            <w:vAlign w:val="center"/>
            <w:hideMark/>
          </w:tcPr>
          <w:p w:rsidR="001C0E67" w:rsidRPr="006A1E59" w:rsidRDefault="001C0E67" w:rsidP="00916320">
            <w:pPr>
              <w:numPr>
                <w:ilvl w:val="0"/>
                <w:numId w:val="12"/>
              </w:numPr>
              <w:tabs>
                <w:tab w:val="left" w:pos="450"/>
              </w:tabs>
              <w:ind w:left="360"/>
              <w:jc w:val="left"/>
              <w:rPr>
                <w:color w:val="auto"/>
                <w:sz w:val="14"/>
                <w:szCs w:val="14"/>
              </w:rPr>
            </w:pPr>
            <w:r w:rsidRPr="006A1E59">
              <w:rPr>
                <w:color w:val="auto"/>
                <w:sz w:val="14"/>
                <w:szCs w:val="14"/>
              </w:rPr>
              <w:t xml:space="preserve">Other Depository Corporations (ODCs) include the data of Banks, DFIs, MFBs, Deposit Accepting </w:t>
            </w:r>
            <w:r w:rsidR="00916320" w:rsidRPr="006A1E59">
              <w:rPr>
                <w:color w:val="auto"/>
                <w:sz w:val="14"/>
                <w:szCs w:val="14"/>
              </w:rPr>
              <w:t>Non-Bank</w:t>
            </w:r>
            <w:r w:rsidRPr="006A1E59">
              <w:rPr>
                <w:color w:val="auto"/>
                <w:sz w:val="14"/>
                <w:szCs w:val="14"/>
              </w:rPr>
              <w:t xml:space="preserve"> Financial Companies and Money Market Mutual Funds (MMMFs) .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916320" w:rsidRPr="006A1E59" w:rsidRDefault="00916320" w:rsidP="00916320">
            <w:pPr>
              <w:numPr>
                <w:ilvl w:val="0"/>
                <w:numId w:val="12"/>
              </w:numPr>
              <w:tabs>
                <w:tab w:val="left" w:pos="450"/>
              </w:tabs>
              <w:ind w:left="360"/>
              <w:jc w:val="left"/>
              <w:rPr>
                <w:color w:val="auto"/>
                <w:sz w:val="14"/>
                <w:szCs w:val="14"/>
              </w:rPr>
            </w:pPr>
            <w:r w:rsidRPr="006A1E59">
              <w:rPr>
                <w:color w:val="auto"/>
                <w:sz w:val="14"/>
                <w:szCs w:val="14"/>
              </w:rPr>
              <w:t>The Stock of Government Deposits for July 2019 have been revised due to reclassification of some of the PSEs, which were previously reported under Government Institutions. The coverage of PSEs has been enhanced.</w:t>
            </w:r>
          </w:p>
          <w:p w:rsidR="00916320" w:rsidRPr="006A1E59" w:rsidRDefault="00916320" w:rsidP="00916320">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916320" w:rsidRPr="006A1E59" w:rsidRDefault="00916320" w:rsidP="00916320">
            <w:pPr>
              <w:numPr>
                <w:ilvl w:val="0"/>
                <w:numId w:val="12"/>
              </w:numPr>
              <w:tabs>
                <w:tab w:val="left" w:pos="450"/>
              </w:tabs>
              <w:ind w:left="360"/>
              <w:jc w:val="left"/>
              <w:rPr>
                <w:color w:val="auto"/>
                <w:sz w:val="14"/>
                <w:szCs w:val="14"/>
              </w:rPr>
            </w:pPr>
            <w:r w:rsidRPr="006A1E59">
              <w:rPr>
                <w:color w:val="auto"/>
                <w:sz w:val="14"/>
                <w:szCs w:val="14"/>
              </w:rPr>
              <w:t xml:space="preserve">Islamic Financings, Advances (against Murabaha etc) and other related items previously reported under Other Assets has been reclassified as domestic claims / credit from June 2014. Details of reclassifications/revisions are available in revision study on SBP website at: </w:t>
            </w:r>
            <w:hyperlink r:id="rId10" w:history="1">
              <w:r w:rsidRPr="006A1E59">
                <w:rPr>
                  <w:rStyle w:val="Hyperlink"/>
                  <w:sz w:val="14"/>
                  <w:szCs w:val="14"/>
                </w:rPr>
                <w:t>www.sbp.org.pk/ecodata/Revision_Monetary_Stats.pdf</w:t>
              </w:r>
            </w:hyperlink>
          </w:p>
          <w:p w:rsidR="00916320" w:rsidRPr="006A1E59" w:rsidRDefault="00916320" w:rsidP="00916320">
            <w:pPr>
              <w:tabs>
                <w:tab w:val="left" w:pos="450"/>
              </w:tabs>
              <w:jc w:val="left"/>
              <w:rPr>
                <w:color w:val="auto"/>
                <w:sz w:val="14"/>
                <w:szCs w:val="14"/>
              </w:rPr>
            </w:pPr>
            <w:r w:rsidRPr="006A1E59">
              <w:rPr>
                <w:sz w:val="14"/>
                <w:szCs w:val="14"/>
              </w:rPr>
              <w:t xml:space="preserve">Archive Link:  </w:t>
            </w:r>
            <w:hyperlink r:id="rId11" w:history="1">
              <w:r w:rsidRPr="006A1E59">
                <w:rPr>
                  <w:rStyle w:val="Hyperlink"/>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098" w:type="dxa"/>
        <w:tblLayout w:type="fixed"/>
        <w:tblLook w:val="04A0" w:firstRow="1" w:lastRow="0" w:firstColumn="1" w:lastColumn="0" w:noHBand="0" w:noVBand="1"/>
      </w:tblPr>
      <w:tblGrid>
        <w:gridCol w:w="3142"/>
        <w:gridCol w:w="788"/>
        <w:gridCol w:w="813"/>
        <w:gridCol w:w="813"/>
        <w:gridCol w:w="762"/>
        <w:gridCol w:w="720"/>
        <w:gridCol w:w="810"/>
        <w:gridCol w:w="810"/>
        <w:gridCol w:w="720"/>
        <w:gridCol w:w="720"/>
      </w:tblGrid>
      <w:tr w:rsidR="00F46CD6" w:rsidRPr="002D5FD9" w:rsidTr="00261F80">
        <w:trPr>
          <w:trHeight w:val="216"/>
        </w:trPr>
        <w:tc>
          <w:tcPr>
            <w:tcW w:w="1009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261F80">
        <w:trPr>
          <w:trHeight w:val="216"/>
        </w:trPr>
        <w:tc>
          <w:tcPr>
            <w:tcW w:w="1009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1734D6" w:rsidRPr="002D5FD9" w:rsidTr="001734D6">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1734D6" w:rsidRPr="002D5FD9" w:rsidRDefault="001734D6" w:rsidP="001734D6">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1734D6" w:rsidRPr="002D5FD9" w:rsidRDefault="001734D6" w:rsidP="001734D6">
            <w:pPr>
              <w:jc w:val="right"/>
              <w:rPr>
                <w:b/>
                <w:bCs/>
                <w:szCs w:val="16"/>
              </w:rPr>
            </w:pPr>
            <w:r w:rsidRPr="00D304D4">
              <w:rPr>
                <w:b/>
                <w:bCs/>
                <w:szCs w:val="16"/>
              </w:rPr>
              <w:t>FY17</w:t>
            </w:r>
          </w:p>
        </w:tc>
        <w:tc>
          <w:tcPr>
            <w:tcW w:w="813" w:type="dxa"/>
            <w:vMerge w:val="restart"/>
            <w:tcBorders>
              <w:top w:val="nil"/>
              <w:left w:val="single" w:sz="4" w:space="0" w:color="auto"/>
              <w:right w:val="single" w:sz="4" w:space="0" w:color="auto"/>
            </w:tcBorders>
            <w:shd w:val="clear" w:color="auto" w:fill="auto"/>
            <w:vAlign w:val="center"/>
          </w:tcPr>
          <w:p w:rsidR="001734D6" w:rsidRPr="002D5FD9" w:rsidRDefault="001734D6" w:rsidP="001734D6">
            <w:pPr>
              <w:jc w:val="right"/>
              <w:rPr>
                <w:b/>
                <w:bCs/>
                <w:szCs w:val="16"/>
              </w:rPr>
            </w:pPr>
            <w:r>
              <w:rPr>
                <w:b/>
                <w:bCs/>
                <w:szCs w:val="16"/>
              </w:rPr>
              <w:t>FY18</w:t>
            </w:r>
          </w:p>
        </w:tc>
        <w:tc>
          <w:tcPr>
            <w:tcW w:w="813" w:type="dxa"/>
            <w:vMerge w:val="restart"/>
            <w:tcBorders>
              <w:top w:val="nil"/>
              <w:left w:val="single" w:sz="4" w:space="0" w:color="auto"/>
              <w:right w:val="single" w:sz="4" w:space="0" w:color="auto"/>
            </w:tcBorders>
            <w:shd w:val="clear" w:color="auto" w:fill="auto"/>
            <w:vAlign w:val="center"/>
          </w:tcPr>
          <w:p w:rsidR="001734D6" w:rsidRPr="002D5FD9" w:rsidRDefault="001734D6" w:rsidP="00A250BE">
            <w:pPr>
              <w:jc w:val="right"/>
              <w:rPr>
                <w:b/>
                <w:bCs/>
                <w:szCs w:val="16"/>
              </w:rPr>
            </w:pPr>
            <w:r>
              <w:rPr>
                <w:b/>
                <w:bCs/>
                <w:szCs w:val="16"/>
              </w:rPr>
              <w:t>FY19</w:t>
            </w:r>
          </w:p>
        </w:tc>
        <w:tc>
          <w:tcPr>
            <w:tcW w:w="1482" w:type="dxa"/>
            <w:gridSpan w:val="2"/>
            <w:tcBorders>
              <w:top w:val="nil"/>
              <w:left w:val="single" w:sz="4" w:space="0" w:color="auto"/>
              <w:bottom w:val="single" w:sz="4" w:space="0" w:color="auto"/>
              <w:right w:val="single" w:sz="4" w:space="0" w:color="auto"/>
            </w:tcBorders>
            <w:shd w:val="clear" w:color="auto" w:fill="auto"/>
            <w:vAlign w:val="center"/>
          </w:tcPr>
          <w:p w:rsidR="001734D6" w:rsidRPr="002D5FD9" w:rsidRDefault="001734D6" w:rsidP="001734D6">
            <w:pPr>
              <w:rPr>
                <w:b/>
                <w:bCs/>
                <w:szCs w:val="16"/>
              </w:rPr>
            </w:pPr>
            <w:r>
              <w:rPr>
                <w:b/>
                <w:bCs/>
                <w:szCs w:val="16"/>
              </w:rPr>
              <w:t>2018</w:t>
            </w:r>
          </w:p>
        </w:tc>
        <w:tc>
          <w:tcPr>
            <w:tcW w:w="3060" w:type="dxa"/>
            <w:gridSpan w:val="4"/>
            <w:tcBorders>
              <w:top w:val="single" w:sz="12" w:space="0" w:color="auto"/>
              <w:left w:val="single" w:sz="4" w:space="0" w:color="auto"/>
              <w:bottom w:val="single" w:sz="4" w:space="0" w:color="auto"/>
              <w:right w:val="nil"/>
            </w:tcBorders>
            <w:shd w:val="clear" w:color="auto" w:fill="auto"/>
            <w:vAlign w:val="center"/>
          </w:tcPr>
          <w:p w:rsidR="001734D6" w:rsidRPr="002D5FD9" w:rsidRDefault="001734D6" w:rsidP="001734D6">
            <w:pPr>
              <w:rPr>
                <w:b/>
                <w:bCs/>
                <w:szCs w:val="16"/>
              </w:rPr>
            </w:pPr>
            <w:r>
              <w:rPr>
                <w:b/>
                <w:bCs/>
                <w:szCs w:val="16"/>
              </w:rPr>
              <w:t>2019</w:t>
            </w:r>
          </w:p>
        </w:tc>
      </w:tr>
      <w:tr w:rsidR="00D74EF3" w:rsidRPr="00414936" w:rsidTr="001734D6">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D74EF3" w:rsidRPr="002D5FD9" w:rsidRDefault="00D74EF3" w:rsidP="00D74EF3">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D74EF3" w:rsidRPr="006619BF" w:rsidRDefault="00D74EF3" w:rsidP="00D74EF3">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D74EF3" w:rsidRPr="006619BF" w:rsidRDefault="00D74EF3" w:rsidP="00D74EF3">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D74EF3" w:rsidRPr="006619BF" w:rsidRDefault="00D74EF3" w:rsidP="00D74EF3">
            <w:pPr>
              <w:jc w:val="right"/>
              <w:rPr>
                <w:b/>
                <w:color w:val="auto"/>
                <w:sz w:val="14"/>
                <w:szCs w:val="14"/>
              </w:rPr>
            </w:pPr>
          </w:p>
        </w:tc>
        <w:tc>
          <w:tcPr>
            <w:tcW w:w="762" w:type="dxa"/>
            <w:tcBorders>
              <w:top w:val="single" w:sz="4" w:space="0" w:color="auto"/>
              <w:left w:val="single" w:sz="4" w:space="0" w:color="auto"/>
              <w:bottom w:val="single" w:sz="12" w:space="0" w:color="auto"/>
            </w:tcBorders>
            <w:shd w:val="clear" w:color="auto" w:fill="auto"/>
            <w:vAlign w:val="center"/>
            <w:hideMark/>
          </w:tcPr>
          <w:p w:rsidR="00D74EF3" w:rsidRPr="006619BF" w:rsidRDefault="00D74EF3" w:rsidP="00D74EF3">
            <w:pPr>
              <w:jc w:val="right"/>
              <w:rPr>
                <w:b/>
                <w:color w:val="auto"/>
                <w:sz w:val="14"/>
                <w:szCs w:val="14"/>
              </w:rPr>
            </w:pPr>
            <w:r>
              <w:rPr>
                <w:b/>
                <w:color w:val="auto"/>
                <w:sz w:val="14"/>
                <w:szCs w:val="14"/>
              </w:rPr>
              <w:t>Jul</w:t>
            </w:r>
          </w:p>
        </w:tc>
        <w:tc>
          <w:tcPr>
            <w:tcW w:w="720" w:type="dxa"/>
            <w:tcBorders>
              <w:top w:val="single" w:sz="4" w:space="0" w:color="auto"/>
              <w:bottom w:val="single" w:sz="12" w:space="0" w:color="auto"/>
              <w:right w:val="single" w:sz="4" w:space="0" w:color="auto"/>
            </w:tcBorders>
            <w:shd w:val="clear" w:color="auto" w:fill="auto"/>
            <w:vAlign w:val="center"/>
          </w:tcPr>
          <w:p w:rsidR="00D74EF3" w:rsidRPr="006619BF" w:rsidRDefault="00D74EF3" w:rsidP="00D74EF3">
            <w:pPr>
              <w:jc w:val="right"/>
              <w:rPr>
                <w:b/>
                <w:color w:val="auto"/>
                <w:sz w:val="14"/>
                <w:szCs w:val="14"/>
              </w:rPr>
            </w:pPr>
            <w:r>
              <w:rPr>
                <w:b/>
                <w:color w:val="auto"/>
                <w:sz w:val="14"/>
                <w:szCs w:val="14"/>
              </w:rPr>
              <w:t>Aug</w:t>
            </w:r>
          </w:p>
        </w:tc>
        <w:tc>
          <w:tcPr>
            <w:tcW w:w="810" w:type="dxa"/>
            <w:tcBorders>
              <w:top w:val="single" w:sz="4" w:space="0" w:color="auto"/>
              <w:left w:val="single" w:sz="4" w:space="0" w:color="auto"/>
              <w:bottom w:val="single" w:sz="12" w:space="0" w:color="auto"/>
            </w:tcBorders>
            <w:shd w:val="clear" w:color="auto" w:fill="auto"/>
            <w:vAlign w:val="center"/>
            <w:hideMark/>
          </w:tcPr>
          <w:p w:rsidR="00D74EF3" w:rsidRPr="006619BF" w:rsidRDefault="00D74EF3" w:rsidP="00D74EF3">
            <w:pPr>
              <w:jc w:val="right"/>
              <w:rPr>
                <w:b/>
                <w:color w:val="auto"/>
                <w:sz w:val="14"/>
                <w:szCs w:val="14"/>
              </w:rPr>
            </w:pPr>
            <w:r>
              <w:rPr>
                <w:b/>
                <w:color w:val="auto"/>
                <w:sz w:val="14"/>
                <w:szCs w:val="14"/>
              </w:rPr>
              <w:t>May</w:t>
            </w:r>
          </w:p>
        </w:tc>
        <w:tc>
          <w:tcPr>
            <w:tcW w:w="810" w:type="dxa"/>
            <w:tcBorders>
              <w:top w:val="single" w:sz="4" w:space="0" w:color="auto"/>
              <w:bottom w:val="single" w:sz="12" w:space="0" w:color="auto"/>
            </w:tcBorders>
            <w:shd w:val="clear" w:color="auto" w:fill="auto"/>
            <w:vAlign w:val="center"/>
          </w:tcPr>
          <w:p w:rsidR="00D74EF3" w:rsidRPr="006619BF" w:rsidRDefault="00D74EF3" w:rsidP="00D74EF3">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vAlign w:val="center"/>
          </w:tcPr>
          <w:p w:rsidR="00D74EF3" w:rsidRPr="006619BF" w:rsidRDefault="00D74EF3" w:rsidP="00D74EF3">
            <w:pPr>
              <w:jc w:val="right"/>
              <w:rPr>
                <w:b/>
                <w:color w:val="auto"/>
                <w:sz w:val="14"/>
                <w:szCs w:val="14"/>
              </w:rPr>
            </w:pPr>
            <w:r>
              <w:rPr>
                <w:b/>
                <w:color w:val="auto"/>
                <w:sz w:val="14"/>
                <w:szCs w:val="14"/>
              </w:rPr>
              <w:t xml:space="preserve">Jul </w:t>
            </w:r>
            <w:r w:rsidRPr="00D74EF3">
              <w:rPr>
                <w:b/>
                <w:color w:val="auto"/>
                <w:sz w:val="14"/>
                <w:szCs w:val="14"/>
                <w:vertAlign w:val="superscript"/>
              </w:rPr>
              <w:t>R</w:t>
            </w:r>
          </w:p>
        </w:tc>
        <w:tc>
          <w:tcPr>
            <w:tcW w:w="720" w:type="dxa"/>
            <w:tcBorders>
              <w:top w:val="single" w:sz="4" w:space="0" w:color="auto"/>
              <w:bottom w:val="single" w:sz="12" w:space="0" w:color="auto"/>
              <w:right w:val="nil"/>
            </w:tcBorders>
            <w:shd w:val="clear" w:color="auto" w:fill="auto"/>
            <w:vAlign w:val="center"/>
          </w:tcPr>
          <w:p w:rsidR="00D74EF3" w:rsidRPr="006619BF" w:rsidRDefault="00D74EF3" w:rsidP="00D74EF3">
            <w:pPr>
              <w:jc w:val="right"/>
              <w:rPr>
                <w:b/>
                <w:color w:val="auto"/>
                <w:sz w:val="14"/>
                <w:szCs w:val="14"/>
              </w:rPr>
            </w:pPr>
            <w:r>
              <w:rPr>
                <w:b/>
                <w:color w:val="auto"/>
                <w:sz w:val="14"/>
                <w:szCs w:val="14"/>
              </w:rPr>
              <w:t xml:space="preserve">Aug </w:t>
            </w:r>
            <w:r w:rsidRPr="001C0E67">
              <w:rPr>
                <w:b/>
                <w:color w:val="auto"/>
                <w:sz w:val="14"/>
                <w:szCs w:val="14"/>
                <w:vertAlign w:val="superscript"/>
              </w:rPr>
              <w:t>P</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1,095,438</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257,804</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(835,649)</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328,760</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268,850</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(677,314)</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(835,649)</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(695,550)</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b/>
                <w:bCs/>
                <w:sz w:val="14"/>
                <w:szCs w:val="14"/>
              </w:rPr>
            </w:pPr>
            <w:r>
              <w:rPr>
                <w:b/>
                <w:bCs/>
                <w:sz w:val="14"/>
                <w:szCs w:val="14"/>
              </w:rPr>
              <w:t>(535,975)</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2,920,693</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2,562,079</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3,034,075</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2,663,427</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2,615,259</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2,823,522</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3,034,075</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3,131,590</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3,196,576</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1,825,255</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2,304,275</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3,869,724</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2,334,668</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2,346,409</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3,500,836</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3,869,724</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3,827,139</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3,732,551</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jc w:val="left"/>
              <w:rPr>
                <w:b/>
                <w:bCs/>
                <w:szCs w:val="16"/>
              </w:rPr>
            </w:pPr>
            <w:r w:rsidRPr="002D5FD9">
              <w:rPr>
                <w:b/>
                <w:bCs/>
                <w:szCs w:val="16"/>
              </w:rPr>
              <w:t>Domestic claims (a+b)</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15,500,156</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17,681,190</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20,875,988</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17,480,446</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17,730,973</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20,069,664</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20,875,988</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20,680,708</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b/>
                <w:bCs/>
                <w:sz w:val="14"/>
                <w:szCs w:val="14"/>
              </w:rPr>
            </w:pPr>
            <w:r>
              <w:rPr>
                <w:b/>
                <w:bCs/>
                <w:sz w:val="14"/>
                <w:szCs w:val="14"/>
              </w:rPr>
              <w:t>20,837,471</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9,224,704</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10,338,362</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12,522,879</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10,112,354</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10,286,797</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11,777,904</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12,522,879</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12,454,168</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b/>
                <w:bCs/>
                <w:sz w:val="14"/>
                <w:szCs w:val="14"/>
              </w:rPr>
            </w:pPr>
            <w:r>
              <w:rPr>
                <w:b/>
                <w:bCs/>
                <w:sz w:val="14"/>
                <w:szCs w:val="14"/>
              </w:rPr>
              <w:t>12,600,308</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9,557,201</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10,564,370</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12,986,169</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10,459,674</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10,684,165</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12,356,978</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12,986,169</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12,991,922</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b/>
                <w:bCs/>
                <w:sz w:val="14"/>
                <w:szCs w:val="14"/>
              </w:rPr>
            </w:pPr>
            <w:r>
              <w:rPr>
                <w:b/>
                <w:bCs/>
                <w:sz w:val="14"/>
                <w:szCs w:val="14"/>
              </w:rPr>
              <w:t>13,224,757</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10,550,305</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11,718,699</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15,219,499</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11,595,668</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11,786,691</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14,335,672</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15,219,499</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16,319,318</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15,834,122</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993,103</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1,154,329</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2,233,330</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1,135,994</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1,102,526</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1,978,694</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2,233,330</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3,327,395</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2,609,364</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(226,008)</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(463,289)</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(347,320)</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(397,368)</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(579,074)</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(463,289)</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(537,754)</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b/>
                <w:bCs/>
                <w:sz w:val="14"/>
                <w:szCs w:val="14"/>
              </w:rPr>
            </w:pPr>
            <w:r>
              <w:rPr>
                <w:b/>
                <w:bCs/>
                <w:sz w:val="14"/>
                <w:szCs w:val="14"/>
              </w:rPr>
              <w:t>(624,449)</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652,076</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565,617</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607,824</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598,792</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556,964</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565,617</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563,383</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547,952</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878,084</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1,028,906</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955,144</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996,160</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1,136,039</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1,028,906</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1,101,137</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1,172,401</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6,275,452</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7,342,828</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8,353,109</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7,368,092</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7,444,176</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8,291,760</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8,353,109</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8,226,540</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b/>
                <w:bCs/>
                <w:sz w:val="14"/>
                <w:szCs w:val="14"/>
              </w:rPr>
            </w:pPr>
            <w:r>
              <w:rPr>
                <w:b/>
                <w:bCs/>
                <w:sz w:val="14"/>
                <w:szCs w:val="14"/>
              </w:rPr>
              <w:t>8,237,162</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103,714</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109,575</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107,665</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105,691</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109,265</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104,747</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107,665</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101,959</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110,745</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1,025,883</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1,268,858</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1,581,257</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1,279,572</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1,312,436</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1,589,822</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1,581,257</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1,590,448</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1,587,058</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4,700,394</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5,224,536</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4,695,581</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4,720,015</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5,172,032</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5,224,536</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5,087,807</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5,091,599</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1,086,228</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1,264,000</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1,439,651</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1,287,248</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1,302,459</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1,425,160</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1,439,651</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1,446,325</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1,447,760</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jc w:val="left"/>
              <w:rPr>
                <w:b/>
                <w:bCs/>
                <w:szCs w:val="16"/>
              </w:rPr>
            </w:pPr>
            <w:r w:rsidRPr="002D5FD9">
              <w:rPr>
                <w:b/>
                <w:bCs/>
                <w:szCs w:val="16"/>
              </w:rPr>
              <w:t>Broad money liabilities (a+b+c+d)</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15,754,775</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17,479,457</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15,598,209</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15,783,450</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16,792,805</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17,479,457</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17,383,261</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b/>
                <w:bCs/>
                <w:sz w:val="14"/>
                <w:szCs w:val="14"/>
              </w:rPr>
            </w:pPr>
            <w:r>
              <w:rPr>
                <w:b/>
                <w:bCs/>
                <w:sz w:val="14"/>
                <w:szCs w:val="14"/>
              </w:rPr>
              <w:t>17,421,513</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4,374,391</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4,935,394</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4,384,419</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4,605,664</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5,017,796</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4,935,394</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5,165,282</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b/>
                <w:bCs/>
                <w:sz w:val="14"/>
                <w:szCs w:val="14"/>
              </w:rPr>
            </w:pPr>
            <w:r>
              <w:rPr>
                <w:b/>
                <w:bCs/>
                <w:sz w:val="14"/>
                <w:szCs w:val="14"/>
              </w:rPr>
              <w:t>5,291,291</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8,735,016</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9,472,216</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8,656,448</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8,593,628</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8,913,564</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9,472,216</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9,281,597</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b/>
                <w:bCs/>
                <w:sz w:val="14"/>
                <w:szCs w:val="14"/>
              </w:rPr>
            </w:pPr>
            <w:r>
              <w:rPr>
                <w:b/>
                <w:bCs/>
                <w:sz w:val="14"/>
                <w:szCs w:val="14"/>
              </w:rPr>
              <w:t>9,149,059</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217,753</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230,225</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236,603</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199,483</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225,857</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230,225</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231,842</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219,463</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359,520</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383,870</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349,438</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359,082</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367,831</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383,870</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404,097</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405,009</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2,503,579</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2,517,381</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2,467,700</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2,440,210</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2,390,018</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2,517,381</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2,409,211</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2,456,990</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5,654,163</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6,340,740</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5,602,708</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5,594,854</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5,929,859</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6,340,740</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6,236,447</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6,067,598</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2,645,353</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3,071,831</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2,557,327</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2,584,142</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2,861,429</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3,071,831</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2,936,366</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b/>
                <w:bCs/>
                <w:sz w:val="14"/>
                <w:szCs w:val="14"/>
              </w:rPr>
            </w:pPr>
            <w:r>
              <w:rPr>
                <w:b/>
                <w:bCs/>
                <w:sz w:val="14"/>
                <w:szCs w:val="14"/>
              </w:rPr>
              <w:t>2,981,147</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81,864</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109,192</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70,443</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66,961</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80,812</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109,192</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75,393</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85,889</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428,607</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492,359</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422,475</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429,761</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460,312</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492,359</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493,555</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510,505</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862,865</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907,644</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800,559</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796,751</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819,047</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907,644</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807,567</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856,350</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1,272,017</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1,562,635</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1,263,850</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1,290,669</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1,501,257</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1,562,635</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1,559,851</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1,528,403</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17</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16</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b/>
                <w:bCs/>
                <w:sz w:val="14"/>
                <w:szCs w:val="14"/>
              </w:rPr>
            </w:pPr>
            <w:r>
              <w:rPr>
                <w:b/>
                <w:bCs/>
                <w:sz w:val="14"/>
                <w:szCs w:val="14"/>
              </w:rPr>
              <w:t>16</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13</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12</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13</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3</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51,168</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57,424</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67,332</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57,517</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57,532</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66,399</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67,332</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67,250</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b/>
                <w:bCs/>
                <w:sz w:val="14"/>
                <w:szCs w:val="14"/>
              </w:rPr>
            </w:pPr>
            <w:r>
              <w:rPr>
                <w:b/>
                <w:bCs/>
                <w:sz w:val="14"/>
                <w:szCs w:val="14"/>
              </w:rPr>
              <w:t>66,961</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19,530</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36,745</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19,870</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25,431</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38,369</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36,745</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37,647</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b/>
                <w:bCs/>
                <w:sz w:val="14"/>
                <w:szCs w:val="14"/>
              </w:rPr>
            </w:pPr>
            <w:r>
              <w:rPr>
                <w:b/>
                <w:bCs/>
                <w:sz w:val="14"/>
                <w:szCs w:val="14"/>
              </w:rPr>
              <w:t>37,837</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i/>
                <w:iCs/>
                <w:sz w:val="14"/>
                <w:szCs w:val="14"/>
              </w:rPr>
            </w:pPr>
            <w:r>
              <w:rPr>
                <w:i/>
                <w:iCs/>
                <w:sz w:val="14"/>
                <w:szCs w:val="14"/>
              </w:rPr>
              <w:t>12,876</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i/>
                <w:iCs/>
                <w:sz w:val="14"/>
                <w:szCs w:val="14"/>
              </w:rPr>
            </w:pPr>
            <w:r>
              <w:rPr>
                <w:i/>
                <w:iCs/>
                <w:sz w:val="14"/>
                <w:szCs w:val="14"/>
              </w:rPr>
              <w:t>19,053</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i/>
                <w:iCs/>
                <w:sz w:val="14"/>
                <w:szCs w:val="14"/>
              </w:rPr>
            </w:pPr>
            <w:r>
              <w:rPr>
                <w:i/>
                <w:iCs/>
                <w:sz w:val="14"/>
                <w:szCs w:val="14"/>
              </w:rPr>
              <w:t>13,331</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i/>
                <w:iCs/>
                <w:sz w:val="14"/>
                <w:szCs w:val="14"/>
              </w:rPr>
            </w:pPr>
            <w:r>
              <w:rPr>
                <w:i/>
                <w:iCs/>
                <w:sz w:val="14"/>
                <w:szCs w:val="14"/>
              </w:rPr>
              <w:t>17,418</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i/>
                <w:iCs/>
                <w:sz w:val="14"/>
                <w:szCs w:val="14"/>
              </w:rPr>
            </w:pPr>
            <w:r>
              <w:rPr>
                <w:i/>
                <w:iCs/>
                <w:sz w:val="14"/>
                <w:szCs w:val="14"/>
              </w:rPr>
              <w:t>20,460</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i/>
                <w:iCs/>
                <w:sz w:val="14"/>
                <w:szCs w:val="14"/>
              </w:rPr>
            </w:pPr>
            <w:r>
              <w:rPr>
                <w:i/>
                <w:iCs/>
                <w:sz w:val="14"/>
                <w:szCs w:val="14"/>
              </w:rPr>
              <w:t>19,053</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i/>
                <w:iCs/>
                <w:sz w:val="14"/>
                <w:szCs w:val="14"/>
              </w:rPr>
            </w:pPr>
            <w:r>
              <w:rPr>
                <w:i/>
                <w:iCs/>
                <w:sz w:val="14"/>
                <w:szCs w:val="14"/>
              </w:rPr>
              <w:t>19,782</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i/>
                <w:iCs/>
                <w:sz w:val="14"/>
                <w:szCs w:val="14"/>
              </w:rPr>
            </w:pPr>
            <w:r>
              <w:rPr>
                <w:i/>
                <w:iCs/>
                <w:sz w:val="14"/>
                <w:szCs w:val="14"/>
              </w:rPr>
              <w:t>19,790</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12,744</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15,119</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12,416</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11,308</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14,904</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15,119</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19,809</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b/>
                <w:bCs/>
                <w:sz w:val="14"/>
                <w:szCs w:val="14"/>
              </w:rPr>
            </w:pPr>
            <w:r>
              <w:rPr>
                <w:b/>
                <w:bCs/>
                <w:sz w:val="14"/>
                <w:szCs w:val="14"/>
              </w:rPr>
              <w:t>18,653</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i/>
                <w:iCs/>
                <w:sz w:val="14"/>
                <w:szCs w:val="14"/>
              </w:rPr>
            </w:pPr>
            <w:r>
              <w:rPr>
                <w:i/>
                <w:iCs/>
                <w:sz w:val="14"/>
                <w:szCs w:val="14"/>
              </w:rPr>
              <w:t>3,411</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i/>
                <w:iCs/>
                <w:sz w:val="14"/>
                <w:szCs w:val="14"/>
              </w:rPr>
            </w:pPr>
            <w:r>
              <w:rPr>
                <w:i/>
                <w:iCs/>
                <w:sz w:val="14"/>
                <w:szCs w:val="14"/>
              </w:rPr>
              <w:t>6,490</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i/>
                <w:iCs/>
                <w:sz w:val="14"/>
                <w:szCs w:val="14"/>
              </w:rPr>
            </w:pPr>
            <w:r>
              <w:rPr>
                <w:i/>
                <w:iCs/>
                <w:sz w:val="14"/>
                <w:szCs w:val="14"/>
              </w:rPr>
              <w:t>3,083</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i/>
                <w:iCs/>
                <w:sz w:val="14"/>
                <w:szCs w:val="14"/>
              </w:rPr>
            </w:pPr>
            <w:r>
              <w:rPr>
                <w:i/>
                <w:iCs/>
                <w:sz w:val="14"/>
                <w:szCs w:val="14"/>
              </w:rPr>
              <w:t>1,975</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i/>
                <w:iCs/>
                <w:sz w:val="14"/>
                <w:szCs w:val="14"/>
              </w:rPr>
            </w:pPr>
            <w:r>
              <w:rPr>
                <w:i/>
                <w:iCs/>
                <w:sz w:val="14"/>
                <w:szCs w:val="14"/>
              </w:rPr>
              <w:t>6,185</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i/>
                <w:iCs/>
                <w:sz w:val="14"/>
                <w:szCs w:val="14"/>
              </w:rPr>
            </w:pPr>
            <w:r>
              <w:rPr>
                <w:i/>
                <w:iCs/>
                <w:sz w:val="14"/>
                <w:szCs w:val="14"/>
              </w:rPr>
              <w:t>6,490</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i/>
                <w:iCs/>
                <w:sz w:val="14"/>
                <w:szCs w:val="14"/>
              </w:rPr>
            </w:pPr>
            <w:r>
              <w:rPr>
                <w:i/>
                <w:iCs/>
                <w:sz w:val="14"/>
                <w:szCs w:val="14"/>
              </w:rPr>
              <w:t>11,180</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i/>
                <w:iCs/>
                <w:sz w:val="14"/>
                <w:szCs w:val="14"/>
              </w:rPr>
            </w:pPr>
            <w:r>
              <w:rPr>
                <w:i/>
                <w:iCs/>
                <w:sz w:val="14"/>
                <w:szCs w:val="14"/>
              </w:rPr>
              <w:t>10,024</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3,686</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10,259</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5,045</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4,088</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5,397</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10,259</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8,108</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b/>
                <w:bCs/>
                <w:sz w:val="14"/>
                <w:szCs w:val="14"/>
              </w:rPr>
            </w:pPr>
            <w:r>
              <w:rPr>
                <w:b/>
                <w:bCs/>
                <w:sz w:val="14"/>
                <w:szCs w:val="14"/>
              </w:rPr>
              <w:t>5,873</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i/>
                <w:iCs/>
                <w:sz w:val="14"/>
                <w:szCs w:val="14"/>
              </w:rPr>
            </w:pPr>
            <w:r>
              <w:rPr>
                <w:i/>
                <w:iCs/>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i/>
                <w:iCs/>
                <w:sz w:val="14"/>
                <w:szCs w:val="14"/>
              </w:rPr>
            </w:pPr>
            <w:r>
              <w:rPr>
                <w:i/>
                <w:iCs/>
                <w:sz w:val="14"/>
                <w:szCs w:val="14"/>
              </w:rPr>
              <w:t>..</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136</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73</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122</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125</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80</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73</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75</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b/>
                <w:bCs/>
                <w:sz w:val="14"/>
                <w:szCs w:val="14"/>
              </w:rPr>
            </w:pPr>
            <w:r>
              <w:rPr>
                <w:b/>
                <w:bCs/>
                <w:sz w:val="14"/>
                <w:szCs w:val="14"/>
              </w:rPr>
              <w:t>77</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i/>
                <w:iCs/>
                <w:sz w:val="14"/>
                <w:szCs w:val="14"/>
              </w:rPr>
            </w:pPr>
            <w:r>
              <w:rPr>
                <w:i/>
                <w:iCs/>
                <w:sz w:val="14"/>
                <w:szCs w:val="14"/>
              </w:rPr>
              <w:t>-</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2,294,214</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2,253,749</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2,434,876</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2,271,950</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2,297,211</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2,494,637</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2,434,876</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2,561,119</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b/>
                <w:bCs/>
                <w:sz w:val="14"/>
                <w:szCs w:val="14"/>
              </w:rPr>
            </w:pPr>
            <w:r>
              <w:rPr>
                <w:b/>
                <w:bCs/>
                <w:sz w:val="14"/>
                <w:szCs w:val="14"/>
              </w:rPr>
              <w:t>2,784,484</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(163,513)</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(162,778)</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(3,377)</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(155,679)</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(179,072)</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b/>
                <w:bCs/>
                <w:sz w:val="14"/>
                <w:szCs w:val="14"/>
              </w:rPr>
            </w:pPr>
            <w:r>
              <w:rPr>
                <w:b/>
                <w:bCs/>
                <w:sz w:val="14"/>
                <w:szCs w:val="14"/>
              </w:rPr>
              <w:t>(20,082)</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(3,377)</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b/>
                <w:bCs/>
                <w:sz w:val="14"/>
                <w:szCs w:val="14"/>
              </w:rPr>
            </w:pPr>
            <w:r>
              <w:rPr>
                <w:b/>
                <w:bCs/>
                <w:sz w:val="14"/>
                <w:szCs w:val="14"/>
              </w:rPr>
              <w:t>(91,959)</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b/>
                <w:bCs/>
                <w:sz w:val="14"/>
                <w:szCs w:val="14"/>
              </w:rPr>
            </w:pPr>
            <w:r>
              <w:rPr>
                <w:b/>
                <w:bCs/>
                <w:sz w:val="14"/>
                <w:szCs w:val="14"/>
              </w:rPr>
              <w:t>(33,748)</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1,505,755</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1,614,791</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2,127,973</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1,565,143</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1,533,361</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2,045,748</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2,127,973</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2,037,096</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2,063,875</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1,449,431</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1,614,406</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1,843,111</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1,582,898</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1,581,814</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1,846,278</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1,843,111</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1,776,761</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1,839,303</w:t>
            </w:r>
          </w:p>
        </w:tc>
      </w:tr>
      <w:tr w:rsidR="00D74EF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74EF3" w:rsidRPr="002D5FD9" w:rsidRDefault="00D74EF3" w:rsidP="00D74EF3">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(219,837)</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(163,162)</w:t>
            </w:r>
          </w:p>
        </w:tc>
        <w:tc>
          <w:tcPr>
            <w:tcW w:w="813"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(288,239)</w:t>
            </w:r>
          </w:p>
        </w:tc>
        <w:tc>
          <w:tcPr>
            <w:tcW w:w="762"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(137,924)</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(130,619)</w:t>
            </w:r>
          </w:p>
        </w:tc>
        <w:tc>
          <w:tcPr>
            <w:tcW w:w="810" w:type="dxa"/>
            <w:tcBorders>
              <w:top w:val="nil"/>
              <w:left w:val="nil"/>
              <w:bottom w:val="nil"/>
              <w:right w:val="nil"/>
            </w:tcBorders>
            <w:shd w:val="clear" w:color="auto" w:fill="auto"/>
            <w:tcMar>
              <w:left w:w="43" w:type="dxa"/>
              <w:right w:w="43" w:type="dxa"/>
            </w:tcMar>
            <w:vAlign w:val="center"/>
            <w:hideMark/>
          </w:tcPr>
          <w:p w:rsidR="00D74EF3" w:rsidRDefault="00D74EF3" w:rsidP="00D74EF3">
            <w:pPr>
              <w:jc w:val="right"/>
              <w:rPr>
                <w:sz w:val="14"/>
                <w:szCs w:val="14"/>
              </w:rPr>
            </w:pPr>
            <w:r>
              <w:rPr>
                <w:sz w:val="14"/>
                <w:szCs w:val="14"/>
              </w:rPr>
              <w:t>(219,552)</w:t>
            </w:r>
          </w:p>
        </w:tc>
        <w:tc>
          <w:tcPr>
            <w:tcW w:w="81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(288,239)</w:t>
            </w:r>
          </w:p>
        </w:tc>
        <w:tc>
          <w:tcPr>
            <w:tcW w:w="720" w:type="dxa"/>
            <w:tcBorders>
              <w:top w:val="nil"/>
              <w:left w:val="nil"/>
              <w:bottom w:val="nil"/>
              <w:right w:val="nil"/>
            </w:tcBorders>
            <w:shd w:val="clear" w:color="auto" w:fill="auto"/>
            <w:tcMar>
              <w:left w:w="43" w:type="dxa"/>
              <w:right w:w="43" w:type="dxa"/>
            </w:tcMar>
            <w:vAlign w:val="center"/>
          </w:tcPr>
          <w:p w:rsidR="00D74EF3" w:rsidRDefault="00D74EF3" w:rsidP="00D74EF3">
            <w:pPr>
              <w:jc w:val="right"/>
              <w:rPr>
                <w:sz w:val="14"/>
                <w:szCs w:val="14"/>
              </w:rPr>
            </w:pPr>
            <w:r>
              <w:rPr>
                <w:sz w:val="14"/>
                <w:szCs w:val="14"/>
              </w:rPr>
              <w:t>(352,294)</w:t>
            </w:r>
          </w:p>
        </w:tc>
        <w:tc>
          <w:tcPr>
            <w:tcW w:w="720" w:type="dxa"/>
            <w:tcBorders>
              <w:top w:val="nil"/>
              <w:left w:val="nil"/>
              <w:bottom w:val="nil"/>
              <w:right w:val="nil"/>
            </w:tcBorders>
            <w:shd w:val="clear" w:color="auto" w:fill="auto"/>
            <w:noWrap/>
            <w:tcMar>
              <w:left w:w="43" w:type="dxa"/>
              <w:right w:w="43" w:type="dxa"/>
            </w:tcMar>
            <w:vAlign w:val="center"/>
          </w:tcPr>
          <w:p w:rsidR="00D74EF3" w:rsidRDefault="00D74EF3" w:rsidP="00D74EF3">
            <w:pPr>
              <w:jc w:val="right"/>
              <w:rPr>
                <w:sz w:val="14"/>
                <w:szCs w:val="14"/>
              </w:rPr>
            </w:pPr>
            <w:r>
              <w:rPr>
                <w:sz w:val="14"/>
                <w:szCs w:val="14"/>
              </w:rPr>
              <w:t>(258,320)</w:t>
            </w:r>
          </w:p>
        </w:tc>
      </w:tr>
      <w:tr w:rsidR="00D74EF3" w:rsidRPr="002D5FD9" w:rsidTr="00916320">
        <w:trPr>
          <w:trHeight w:val="1698"/>
        </w:trPr>
        <w:tc>
          <w:tcPr>
            <w:tcW w:w="10098" w:type="dxa"/>
            <w:gridSpan w:val="10"/>
            <w:tcBorders>
              <w:top w:val="single" w:sz="12" w:space="0" w:color="auto"/>
              <w:left w:val="nil"/>
              <w:bottom w:val="nil"/>
              <w:right w:val="nil"/>
            </w:tcBorders>
            <w:shd w:val="clear" w:color="auto" w:fill="auto"/>
            <w:vAlign w:val="center"/>
            <w:hideMark/>
          </w:tcPr>
          <w:p w:rsidR="00C37C45" w:rsidRDefault="00C37C45" w:rsidP="00C37C45">
            <w:pPr>
              <w:ind w:left="360" w:hanging="360"/>
              <w:jc w:val="right"/>
              <w:rPr>
                <w:szCs w:val="18"/>
              </w:rPr>
            </w:pPr>
            <w:r>
              <w:rPr>
                <w:sz w:val="14"/>
                <w:szCs w:val="14"/>
              </w:rPr>
              <w:t>Source: Statistics &amp; Data Warehouse Department SBP</w:t>
            </w:r>
          </w:p>
          <w:p w:rsidR="00F01736" w:rsidRPr="00916320" w:rsidRDefault="00D74EF3" w:rsidP="00C37C45">
            <w:pPr>
              <w:ind w:left="360" w:hanging="360"/>
              <w:jc w:val="left"/>
              <w:rPr>
                <w:rFonts w:asciiTheme="majorBidi" w:hAnsiTheme="majorBidi" w:cstheme="majorBidi"/>
                <w:szCs w:val="18"/>
              </w:rPr>
            </w:pPr>
            <w:r w:rsidRPr="00916320">
              <w:rPr>
                <w:szCs w:val="18"/>
              </w:rPr>
              <w:t xml:space="preserve">Note: </w:t>
            </w:r>
          </w:p>
          <w:p w:rsidR="00F01736" w:rsidRPr="00916320" w:rsidRDefault="00D74EF3" w:rsidP="00F01736">
            <w:pPr>
              <w:pStyle w:val="ListParagraph"/>
              <w:numPr>
                <w:ilvl w:val="0"/>
                <w:numId w:val="12"/>
              </w:numPr>
              <w:ind w:left="360"/>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 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2" w:history="1">
              <w:r w:rsidR="00F01736" w:rsidRPr="00916320">
                <w:rPr>
                  <w:rStyle w:val="Hyperlink"/>
                  <w:rFonts w:asciiTheme="majorBidi" w:hAnsiTheme="majorBidi" w:cstheme="majorBidi"/>
                  <w:sz w:val="14"/>
                  <w:szCs w:val="14"/>
                </w:rPr>
                <w:t>http://www.sbp.org.pk/departments/stats/ntb.htm</w:t>
              </w:r>
            </w:hyperlink>
          </w:p>
          <w:p w:rsidR="00F01736" w:rsidRPr="00916320" w:rsidRDefault="006B7883" w:rsidP="00F01736">
            <w:pPr>
              <w:pStyle w:val="ListParagraph"/>
              <w:numPr>
                <w:ilvl w:val="0"/>
                <w:numId w:val="12"/>
              </w:numPr>
              <w:ind w:left="360"/>
              <w:rPr>
                <w:rFonts w:asciiTheme="majorBidi" w:hAnsiTheme="majorBidi" w:cstheme="majorBidi"/>
                <w:sz w:val="14"/>
                <w:szCs w:val="14"/>
              </w:rPr>
            </w:pPr>
            <w:hyperlink r:id="rId13" w:history="1">
              <w:r w:rsidR="00F01736"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F01736" w:rsidRPr="00916320">
              <w:rPr>
                <w:rFonts w:asciiTheme="majorBidi" w:hAnsiTheme="majorBidi" w:cstheme="majorBidi"/>
                <w:sz w:val="14"/>
                <w:szCs w:val="14"/>
              </w:rPr>
              <w:t xml:space="preserve"> </w:t>
            </w:r>
            <w:hyperlink r:id="rId14" w:history="1">
              <w:r w:rsidR="00F01736" w:rsidRPr="00916320">
                <w:rPr>
                  <w:rFonts w:asciiTheme="majorBidi" w:hAnsiTheme="majorBidi" w:cstheme="majorBidi"/>
                  <w:color w:val="000000"/>
                  <w:sz w:val="14"/>
                  <w:szCs w:val="14"/>
                </w:rPr>
                <w:t>www.sbp.org.pk/ecodata/Revision_Monetary_Stats.pdf</w:t>
              </w:r>
            </w:hyperlink>
          </w:p>
          <w:p w:rsidR="00F01736" w:rsidRPr="00916320" w:rsidRDefault="00F01736" w:rsidP="00F01736">
            <w:pPr>
              <w:pStyle w:val="ListParagraph"/>
              <w:numPr>
                <w:ilvl w:val="0"/>
                <w:numId w:val="12"/>
              </w:numPr>
              <w:ind w:left="360"/>
              <w:rPr>
                <w:sz w:val="14"/>
                <w:szCs w:val="14"/>
              </w:rPr>
            </w:pPr>
            <w:r w:rsidRPr="00916320">
              <w:rPr>
                <w:rFonts w:asciiTheme="majorBidi" w:hAnsiTheme="majorBidi" w:cstheme="majorBidi"/>
                <w:sz w:val="14"/>
                <w:szCs w:val="14"/>
              </w:rPr>
              <w:t>The Stock of Government Deposits for July 2019 have been revised due to reclassification of some of the PSEs , which were previously reported under Government Institutions. The coverage of PSEs has been enhanced.</w:t>
            </w:r>
            <w:r w:rsidRPr="00916320">
              <w:rPr>
                <w:sz w:val="14"/>
                <w:szCs w:val="14"/>
              </w:rPr>
              <w:t xml:space="preserve"> </w:t>
            </w:r>
          </w:p>
          <w:p w:rsidR="00D74EF3" w:rsidRPr="00F01736" w:rsidRDefault="00F01736" w:rsidP="00F01736">
            <w:pPr>
              <w:pStyle w:val="ListParagraph"/>
              <w:numPr>
                <w:ilvl w:val="0"/>
                <w:numId w:val="12"/>
              </w:numPr>
              <w:ind w:left="360"/>
              <w:rPr>
                <w:rFonts w:asciiTheme="majorBidi" w:hAnsiTheme="majorBidi" w:cstheme="majorBidi"/>
                <w:sz w:val="14"/>
                <w:szCs w:val="14"/>
              </w:rPr>
            </w:pPr>
            <w:r w:rsidRPr="00916320">
              <w:rPr>
                <w:rFonts w:asciiTheme="majorBidi" w:hAnsiTheme="majorBidi" w:cstheme="majorBidi"/>
                <w:sz w:val="14"/>
                <w:szCs w:val="14"/>
              </w:rPr>
              <w:t xml:space="preserve">Archive Link:  </w:t>
            </w:r>
            <w:hyperlink r:id="rId15" w:history="1">
              <w:r w:rsidRPr="00916320">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07"/>
        <w:gridCol w:w="769"/>
        <w:gridCol w:w="851"/>
        <w:gridCol w:w="810"/>
        <w:gridCol w:w="810"/>
        <w:gridCol w:w="810"/>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6516EF" w:rsidRPr="009B6E8A" w:rsidTr="00BB085A">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6516EF" w:rsidRPr="003A4AAC" w:rsidRDefault="006516EF"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516EF" w:rsidRPr="003A4AAC" w:rsidRDefault="006516EF"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76" w:type="dxa"/>
            <w:gridSpan w:val="2"/>
            <w:tcBorders>
              <w:top w:val="single" w:sz="12" w:space="0" w:color="auto"/>
              <w:left w:val="nil"/>
              <w:bottom w:val="single" w:sz="4" w:space="0" w:color="auto"/>
              <w:right w:val="single" w:sz="4" w:space="0" w:color="auto"/>
            </w:tcBorders>
            <w:shd w:val="clear" w:color="auto" w:fill="auto"/>
            <w:vAlign w:val="center"/>
          </w:tcPr>
          <w:p w:rsidR="006516EF" w:rsidRPr="009B6E8A" w:rsidRDefault="006516EF" w:rsidP="004E4510">
            <w:pPr>
              <w:rPr>
                <w:b/>
                <w:bCs/>
                <w:color w:val="auto"/>
                <w:szCs w:val="16"/>
              </w:rPr>
            </w:pPr>
            <w:r>
              <w:rPr>
                <w:b/>
                <w:bCs/>
                <w:color w:val="auto"/>
                <w:szCs w:val="16"/>
              </w:rPr>
              <w:t>2018</w:t>
            </w:r>
          </w:p>
        </w:tc>
        <w:tc>
          <w:tcPr>
            <w:tcW w:w="3281" w:type="dxa"/>
            <w:gridSpan w:val="4"/>
            <w:tcBorders>
              <w:top w:val="single" w:sz="12" w:space="0" w:color="auto"/>
              <w:left w:val="single" w:sz="4" w:space="0" w:color="auto"/>
              <w:bottom w:val="single" w:sz="4" w:space="0" w:color="auto"/>
              <w:right w:val="nil"/>
            </w:tcBorders>
            <w:shd w:val="clear" w:color="auto" w:fill="auto"/>
            <w:vAlign w:val="center"/>
          </w:tcPr>
          <w:p w:rsidR="006516EF" w:rsidRPr="009B6E8A" w:rsidRDefault="006516EF" w:rsidP="004E4510">
            <w:pPr>
              <w:rPr>
                <w:b/>
                <w:bCs/>
                <w:color w:val="auto"/>
                <w:szCs w:val="16"/>
              </w:rPr>
            </w:pPr>
            <w:r>
              <w:rPr>
                <w:b/>
                <w:bCs/>
                <w:color w:val="auto"/>
                <w:szCs w:val="16"/>
              </w:rPr>
              <w:t>2019</w:t>
            </w:r>
          </w:p>
        </w:tc>
      </w:tr>
      <w:tr w:rsidR="00295B77" w:rsidRPr="009B6E8A" w:rsidTr="00AB7A08">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295B77" w:rsidRPr="009B6E8A" w:rsidRDefault="00295B77" w:rsidP="00295B77">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295B77" w:rsidRPr="006619BF" w:rsidRDefault="00295B77" w:rsidP="00295B77">
            <w:pPr>
              <w:jc w:val="right"/>
              <w:rPr>
                <w:b/>
                <w:bCs/>
                <w:color w:val="auto"/>
                <w:sz w:val="14"/>
                <w:szCs w:val="14"/>
              </w:rPr>
            </w:pPr>
            <w:r w:rsidRPr="006619BF">
              <w:rPr>
                <w:b/>
                <w:bCs/>
                <w:color w:val="auto"/>
                <w:sz w:val="14"/>
                <w:szCs w:val="14"/>
              </w:rPr>
              <w:t>FY17</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295B77" w:rsidRPr="006619BF" w:rsidRDefault="00295B77" w:rsidP="00295B77">
            <w:pPr>
              <w:jc w:val="right"/>
              <w:rPr>
                <w:b/>
                <w:bCs/>
                <w:color w:val="auto"/>
                <w:sz w:val="14"/>
                <w:szCs w:val="14"/>
              </w:rPr>
            </w:pPr>
            <w:r>
              <w:rPr>
                <w:b/>
                <w:bCs/>
                <w:color w:val="auto"/>
                <w:sz w:val="14"/>
                <w:szCs w:val="14"/>
              </w:rPr>
              <w:t>FY18</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295B77" w:rsidRPr="006619BF" w:rsidRDefault="00295B77" w:rsidP="00960F16">
            <w:pPr>
              <w:jc w:val="right"/>
              <w:rPr>
                <w:b/>
                <w:bCs/>
                <w:color w:val="auto"/>
                <w:sz w:val="14"/>
                <w:szCs w:val="14"/>
              </w:rPr>
            </w:pPr>
            <w:r>
              <w:rPr>
                <w:b/>
                <w:bCs/>
                <w:color w:val="auto"/>
                <w:sz w:val="14"/>
                <w:szCs w:val="14"/>
              </w:rPr>
              <w:t>FY19</w:t>
            </w:r>
          </w:p>
        </w:tc>
        <w:tc>
          <w:tcPr>
            <w:tcW w:w="707"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295B77" w:rsidRPr="006619BF" w:rsidRDefault="00295B77" w:rsidP="00295B77">
            <w:pPr>
              <w:jc w:val="right"/>
              <w:rPr>
                <w:b/>
                <w:color w:val="auto"/>
                <w:sz w:val="14"/>
                <w:szCs w:val="14"/>
              </w:rPr>
            </w:pPr>
            <w:r>
              <w:rPr>
                <w:b/>
                <w:color w:val="auto"/>
                <w:sz w:val="14"/>
                <w:szCs w:val="14"/>
              </w:rPr>
              <w:t>Jul</w:t>
            </w:r>
          </w:p>
        </w:tc>
        <w:tc>
          <w:tcPr>
            <w:tcW w:w="769"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95B77" w:rsidRPr="006619BF" w:rsidRDefault="00295B77" w:rsidP="00295B77">
            <w:pPr>
              <w:jc w:val="right"/>
              <w:rPr>
                <w:b/>
                <w:color w:val="auto"/>
                <w:sz w:val="14"/>
                <w:szCs w:val="14"/>
              </w:rPr>
            </w:pPr>
            <w:r>
              <w:rPr>
                <w:b/>
                <w:color w:val="auto"/>
                <w:sz w:val="14"/>
                <w:szCs w:val="14"/>
              </w:rPr>
              <w:t>Aug</w:t>
            </w:r>
          </w:p>
        </w:tc>
        <w:tc>
          <w:tcPr>
            <w:tcW w:w="85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295B77" w:rsidRPr="006619BF" w:rsidRDefault="00295B77" w:rsidP="00295B77">
            <w:pPr>
              <w:jc w:val="right"/>
              <w:rPr>
                <w:b/>
                <w:color w:val="auto"/>
                <w:sz w:val="14"/>
                <w:szCs w:val="14"/>
              </w:rPr>
            </w:pPr>
            <w:r>
              <w:rPr>
                <w:b/>
                <w:color w:val="auto"/>
                <w:sz w:val="14"/>
                <w:szCs w:val="14"/>
              </w:rPr>
              <w:t>May</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295B77" w:rsidRPr="006619BF" w:rsidRDefault="00295B77" w:rsidP="00295B77">
            <w:pPr>
              <w:jc w:val="right"/>
              <w:rPr>
                <w:b/>
                <w:color w:val="auto"/>
                <w:sz w:val="14"/>
                <w:szCs w:val="14"/>
              </w:rPr>
            </w:pPr>
            <w:r>
              <w:rPr>
                <w:b/>
                <w:color w:val="auto"/>
                <w:sz w:val="14"/>
                <w:szCs w:val="14"/>
              </w:rPr>
              <w:t>Jun</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295B77" w:rsidRPr="006619BF" w:rsidRDefault="00295B77" w:rsidP="00295B77">
            <w:pPr>
              <w:jc w:val="right"/>
              <w:rPr>
                <w:b/>
                <w:color w:val="auto"/>
                <w:sz w:val="14"/>
                <w:szCs w:val="14"/>
              </w:rPr>
            </w:pPr>
            <w:r>
              <w:rPr>
                <w:b/>
                <w:color w:val="auto"/>
                <w:sz w:val="14"/>
                <w:szCs w:val="14"/>
              </w:rPr>
              <w:t>Jul</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295B77" w:rsidRPr="006619BF" w:rsidRDefault="00295B77" w:rsidP="00295B77">
            <w:pPr>
              <w:jc w:val="right"/>
              <w:rPr>
                <w:b/>
                <w:color w:val="auto"/>
                <w:sz w:val="14"/>
                <w:szCs w:val="14"/>
              </w:rPr>
            </w:pPr>
            <w:r>
              <w:rPr>
                <w:b/>
                <w:color w:val="auto"/>
                <w:sz w:val="14"/>
                <w:szCs w:val="14"/>
              </w:rPr>
              <w:t xml:space="preserve">Aug </w:t>
            </w:r>
            <w:r w:rsidRPr="00A250BE">
              <w:rPr>
                <w:b/>
                <w:color w:val="auto"/>
                <w:sz w:val="14"/>
                <w:szCs w:val="14"/>
                <w:vertAlign w:val="superscript"/>
              </w:rPr>
              <w:t>P</w:t>
            </w:r>
          </w:p>
        </w:tc>
      </w:tr>
      <w:tr w:rsidR="00295B77" w:rsidRPr="009B6E8A" w:rsidTr="00AB7A08">
        <w:trPr>
          <w:trHeight w:hRule="exact" w:val="178"/>
          <w:jc w:val="center"/>
        </w:trPr>
        <w:tc>
          <w:tcPr>
            <w:tcW w:w="3341" w:type="dxa"/>
            <w:gridSpan w:val="2"/>
            <w:tcBorders>
              <w:top w:val="nil"/>
              <w:left w:val="nil"/>
              <w:bottom w:val="nil"/>
              <w:right w:val="nil"/>
            </w:tcBorders>
            <w:shd w:val="clear" w:color="auto" w:fill="auto"/>
            <w:noWrap/>
            <w:vAlign w:val="center"/>
            <w:hideMark/>
          </w:tcPr>
          <w:p w:rsidR="00295B77" w:rsidRPr="009B6E8A" w:rsidRDefault="00295B77" w:rsidP="00295B77">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295B77" w:rsidRPr="009B6E8A" w:rsidRDefault="00295B77" w:rsidP="00295B77">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3"/>
                <w:szCs w:val="13"/>
              </w:rPr>
            </w:pP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3"/>
                <w:szCs w:val="13"/>
              </w:rPr>
            </w:pP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b/>
                <w:bCs/>
                <w:sz w:val="13"/>
                <w:szCs w:val="13"/>
              </w:rPr>
            </w:pP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3"/>
                <w:szCs w:val="13"/>
              </w:rPr>
            </w:pPr>
          </w:p>
        </w:tc>
      </w:tr>
      <w:tr w:rsidR="00295B77"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295B77" w:rsidRDefault="00295B77" w:rsidP="00295B77">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3,911,315</w:t>
            </w:r>
          </w:p>
        </w:tc>
        <w:tc>
          <w:tcPr>
            <w:tcW w:w="81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4,387,828</w:t>
            </w: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4,950,039</w:t>
            </w: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4,413,596</w:t>
            </w: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b/>
                <w:bCs/>
                <w:sz w:val="14"/>
                <w:szCs w:val="14"/>
              </w:rPr>
            </w:pPr>
            <w:r>
              <w:rPr>
                <w:b/>
                <w:bCs/>
                <w:sz w:val="14"/>
                <w:szCs w:val="14"/>
              </w:rPr>
              <w:t>4,618,601</w:t>
            </w: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5,031,826</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4,950,039</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5,195,738</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5,296,959</w:t>
            </w:r>
          </w:p>
        </w:tc>
      </w:tr>
      <w:tr w:rsidR="00295B77"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295B77" w:rsidRDefault="00295B77" w:rsidP="00295B77">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264,627</w:t>
            </w:r>
          </w:p>
        </w:tc>
        <w:tc>
          <w:tcPr>
            <w:tcW w:w="81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255,891</w:t>
            </w: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343,516</w:t>
            </w: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229,300</w:t>
            </w: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b/>
                <w:bCs/>
                <w:sz w:val="14"/>
                <w:szCs w:val="14"/>
              </w:rPr>
            </w:pPr>
            <w:r>
              <w:rPr>
                <w:b/>
                <w:bCs/>
                <w:sz w:val="14"/>
                <w:szCs w:val="14"/>
              </w:rPr>
              <w:t>250,269</w:t>
            </w: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389,234</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343,516</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279,642</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296,602</w:t>
            </w:r>
          </w:p>
        </w:tc>
      </w:tr>
      <w:tr w:rsidR="00295B77"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295B77" w:rsidRDefault="00295B77" w:rsidP="00295B77">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22,692</w:t>
            </w:r>
          </w:p>
        </w:tc>
        <w:tc>
          <w:tcPr>
            <w:tcW w:w="81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26,962</w:t>
            </w: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33,636</w:t>
            </w: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27,738</w:t>
            </w: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b/>
                <w:bCs/>
                <w:sz w:val="14"/>
                <w:szCs w:val="14"/>
              </w:rPr>
            </w:pPr>
            <w:r>
              <w:rPr>
                <w:b/>
                <w:bCs/>
                <w:sz w:val="14"/>
                <w:szCs w:val="14"/>
              </w:rPr>
              <w:t>28,205</w:t>
            </w: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33,777</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33,636</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34,027</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33,913</w:t>
            </w:r>
          </w:p>
        </w:tc>
      </w:tr>
      <w:tr w:rsidR="00295B77"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295B77" w:rsidRDefault="00295B77" w:rsidP="00295B77">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669,338</w:t>
            </w:r>
          </w:p>
        </w:tc>
        <w:tc>
          <w:tcPr>
            <w:tcW w:w="81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813,949</w:t>
            </w: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1,246,239</w:t>
            </w: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781,588</w:t>
            </w: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b/>
                <w:bCs/>
                <w:sz w:val="14"/>
                <w:szCs w:val="14"/>
              </w:rPr>
            </w:pPr>
            <w:r>
              <w:rPr>
                <w:b/>
                <w:bCs/>
                <w:sz w:val="14"/>
                <w:szCs w:val="14"/>
              </w:rPr>
              <w:t>698,554</w:t>
            </w: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871,139</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1,246,239</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856,730</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881,990</w:t>
            </w:r>
          </w:p>
        </w:tc>
      </w:tr>
      <w:tr w:rsidR="00295B77"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295B77" w:rsidRDefault="00295B77" w:rsidP="00295B77">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4,867,971</w:t>
            </w:r>
          </w:p>
        </w:tc>
        <w:tc>
          <w:tcPr>
            <w:tcW w:w="81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5,484,630</w:t>
            </w: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6,573,430</w:t>
            </w: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5,452,223</w:t>
            </w: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b/>
                <w:bCs/>
                <w:sz w:val="14"/>
                <w:szCs w:val="14"/>
              </w:rPr>
            </w:pPr>
            <w:r>
              <w:rPr>
                <w:b/>
                <w:bCs/>
                <w:sz w:val="14"/>
                <w:szCs w:val="14"/>
              </w:rPr>
              <w:t>5,595,629</w:t>
            </w: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6,325,976</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6,573,430</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6,366,136</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6,509,463</w:t>
            </w:r>
          </w:p>
        </w:tc>
      </w:tr>
      <w:tr w:rsidR="00295B77"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295B77" w:rsidRDefault="00295B77" w:rsidP="00295B77">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295B77" w:rsidRPr="00C65960" w:rsidRDefault="00295B77" w:rsidP="00295B77">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295B77" w:rsidRPr="00C65960" w:rsidRDefault="00295B77" w:rsidP="00295B77">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b/>
                <w:bCs/>
                <w:sz w:val="14"/>
                <w:szCs w:val="14"/>
              </w:rPr>
            </w:pP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p>
        </w:tc>
      </w:tr>
      <w:tr w:rsidR="00295B77"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295B77" w:rsidRDefault="00295B77" w:rsidP="00295B77">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828,923</w:t>
            </w:r>
          </w:p>
        </w:tc>
        <w:tc>
          <w:tcPr>
            <w:tcW w:w="81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12,453</w:t>
            </w: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(1,127,212)</w:t>
            </w: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147,025</w:t>
            </w: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b/>
                <w:bCs/>
                <w:sz w:val="14"/>
                <w:szCs w:val="14"/>
              </w:rPr>
            </w:pPr>
            <w:r>
              <w:rPr>
                <w:b/>
                <w:bCs/>
                <w:sz w:val="14"/>
                <w:szCs w:val="14"/>
              </w:rPr>
              <w:t>78,241</w:t>
            </w: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(895,922)</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(1,127,212)</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(1,017,752)</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(898,552)</w:t>
            </w:r>
          </w:p>
        </w:tc>
      </w:tr>
      <w:tr w:rsidR="00295B77"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295B77" w:rsidRDefault="00295B77" w:rsidP="00295B77">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4,039,049</w:t>
            </w:r>
          </w:p>
        </w:tc>
        <w:tc>
          <w:tcPr>
            <w:tcW w:w="81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5,472,177</w:t>
            </w: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7,700,642</w:t>
            </w: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5,305,198</w:t>
            </w: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b/>
                <w:bCs/>
                <w:sz w:val="14"/>
                <w:szCs w:val="14"/>
              </w:rPr>
            </w:pPr>
            <w:r>
              <w:rPr>
                <w:b/>
                <w:bCs/>
                <w:sz w:val="14"/>
                <w:szCs w:val="14"/>
              </w:rPr>
              <w:t>5,517,388</w:t>
            </w: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7,221,898</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7,700,642</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7,383,888</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7,408,015</w:t>
            </w:r>
          </w:p>
        </w:tc>
      </w:tr>
      <w:tr w:rsidR="00295B77"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295B77" w:rsidRDefault="00295B77" w:rsidP="00295B77">
            <w:pPr>
              <w:jc w:val="left"/>
              <w:rPr>
                <w:b/>
                <w:bCs/>
                <w:szCs w:val="16"/>
              </w:rPr>
            </w:pPr>
            <w:r>
              <w:rPr>
                <w:b/>
                <w:bCs/>
                <w:szCs w:val="16"/>
              </w:rPr>
              <w:t xml:space="preserve">   1. Net Govt Sector Borrowing (i+ii)</w:t>
            </w:r>
          </w:p>
        </w:tc>
        <w:tc>
          <w:tcPr>
            <w:tcW w:w="84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2,337,124</w:t>
            </w:r>
          </w:p>
        </w:tc>
        <w:tc>
          <w:tcPr>
            <w:tcW w:w="81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3,600,435</w:t>
            </w: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6,676,536</w:t>
            </w: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3,655,071</w:t>
            </w: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b/>
                <w:bCs/>
                <w:sz w:val="14"/>
                <w:szCs w:val="14"/>
              </w:rPr>
            </w:pPr>
            <w:r>
              <w:rPr>
                <w:b/>
                <w:bCs/>
                <w:sz w:val="14"/>
                <w:szCs w:val="14"/>
              </w:rPr>
              <w:t>4,695,341</w:t>
            </w: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6,179,840</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6,676,536</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5,390,873</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6,245,103</w:t>
            </w:r>
          </w:p>
        </w:tc>
      </w:tr>
      <w:tr w:rsidR="00295B77"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295B77" w:rsidRPr="008C32C5" w:rsidRDefault="00295B77" w:rsidP="00295B77">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2,350,109</w:t>
            </w:r>
          </w:p>
        </w:tc>
        <w:tc>
          <w:tcPr>
            <w:tcW w:w="81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3,613,406</w:t>
            </w: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6,692,756</w:t>
            </w: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3,668,704</w:t>
            </w: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sz w:val="14"/>
                <w:szCs w:val="14"/>
              </w:rPr>
            </w:pPr>
            <w:r>
              <w:rPr>
                <w:sz w:val="14"/>
                <w:szCs w:val="14"/>
              </w:rPr>
              <w:t>4,708,614</w:t>
            </w: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6,194,713</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6,692,756</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5,407,427</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6,262,318</w:t>
            </w:r>
          </w:p>
        </w:tc>
      </w:tr>
      <w:tr w:rsidR="00295B77"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295B77" w:rsidRPr="008C32C5" w:rsidRDefault="00295B77" w:rsidP="00295B77">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2,440,624</w:t>
            </w:r>
          </w:p>
        </w:tc>
        <w:tc>
          <w:tcPr>
            <w:tcW w:w="81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3,667,619</w:t>
            </w: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6,834,161</w:t>
            </w: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3,829,601</w:t>
            </w: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sz w:val="14"/>
                <w:szCs w:val="14"/>
              </w:rPr>
            </w:pPr>
            <w:r>
              <w:rPr>
                <w:sz w:val="14"/>
                <w:szCs w:val="14"/>
              </w:rPr>
              <w:t>4,946,562</w:t>
            </w: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6,453,541</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6,834,161</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5,643,979</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6,583,310</w:t>
            </w:r>
          </w:p>
        </w:tc>
      </w:tr>
      <w:tr w:rsidR="00295B77"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295B77" w:rsidRPr="008C32C5" w:rsidRDefault="00295B77" w:rsidP="00295B77">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(91,238)</w:t>
            </w:r>
          </w:p>
        </w:tc>
        <w:tc>
          <w:tcPr>
            <w:tcW w:w="81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(40,546)</w:t>
            </w: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(967,305)</w:t>
            </w: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(1,822,254)</w:t>
            </w: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sz w:val="14"/>
                <w:szCs w:val="14"/>
              </w:rPr>
            </w:pPr>
            <w:r>
              <w:rPr>
                <w:sz w:val="14"/>
                <w:szCs w:val="14"/>
              </w:rPr>
              <w:t>(38,087)</w:t>
            </w: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(821,625)</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(967,305)</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(2,230,570)</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(1,388,612)</w:t>
            </w:r>
          </w:p>
        </w:tc>
      </w:tr>
      <w:tr w:rsidR="00295B77"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295B77" w:rsidRPr="008C32C5" w:rsidRDefault="00295B77" w:rsidP="00295B77">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(88,555)</w:t>
            </w:r>
          </w:p>
        </w:tc>
        <w:tc>
          <w:tcPr>
            <w:tcW w:w="81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(43,840)</w:t>
            </w: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(127,135)</w:t>
            </w: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(145,504)</w:t>
            </w: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sz w:val="14"/>
                <w:szCs w:val="14"/>
              </w:rPr>
            </w:pPr>
            <w:r>
              <w:rPr>
                <w:sz w:val="14"/>
                <w:szCs w:val="14"/>
              </w:rPr>
              <w:t>(219,844)</w:t>
            </w: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(226,707)</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(127,135)</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(215,816)</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(295,658)</w:t>
            </w:r>
          </w:p>
        </w:tc>
      </w:tr>
      <w:tr w:rsidR="00295B77"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295B77" w:rsidRPr="008C32C5" w:rsidRDefault="00295B77" w:rsidP="00295B77">
            <w:pPr>
              <w:jc w:val="left"/>
              <w:rPr>
                <w:szCs w:val="16"/>
              </w:rPr>
            </w:pPr>
            <w:r w:rsidRPr="008C32C5">
              <w:rPr>
                <w:szCs w:val="16"/>
              </w:rPr>
              <w:t xml:space="preserve">                      Balochistan </w:t>
            </w:r>
          </w:p>
        </w:tc>
        <w:tc>
          <w:tcPr>
            <w:tcW w:w="84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(1,460)</w:t>
            </w:r>
          </w:p>
        </w:tc>
        <w:tc>
          <w:tcPr>
            <w:tcW w:w="81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(5,329)</w:t>
            </w: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(19,072)</w:t>
            </w: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(9,300)</w:t>
            </w: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sz w:val="14"/>
                <w:szCs w:val="14"/>
              </w:rPr>
            </w:pPr>
            <w:r>
              <w:rPr>
                <w:sz w:val="14"/>
                <w:szCs w:val="14"/>
              </w:rPr>
              <w:t>(18,716)</w:t>
            </w: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(36,336)</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(19,072)</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(21,240)</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(38,776)</w:t>
            </w:r>
          </w:p>
        </w:tc>
      </w:tr>
      <w:tr w:rsidR="00295B77"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295B77" w:rsidRPr="008C32C5" w:rsidRDefault="00295B77" w:rsidP="00295B77">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(30,245)</w:t>
            </w:r>
          </w:p>
        </w:tc>
        <w:tc>
          <w:tcPr>
            <w:tcW w:w="81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(23,945)</w:t>
            </w: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(16,983)</w:t>
            </w: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(43,343)</w:t>
            </w: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sz w:val="14"/>
                <w:szCs w:val="14"/>
              </w:rPr>
            </w:pPr>
            <w:r>
              <w:rPr>
                <w:sz w:val="14"/>
                <w:szCs w:val="14"/>
              </w:rPr>
              <w:t>(54,647)</w:t>
            </w: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(37,336)</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(16,983)</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(30,164)</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(48,343)</w:t>
            </w:r>
          </w:p>
        </w:tc>
      </w:tr>
      <w:tr w:rsidR="00295B77"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295B77" w:rsidRPr="008C32C5" w:rsidRDefault="00295B77" w:rsidP="00295B77">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(38,146)</w:t>
            </w:r>
          </w:p>
        </w:tc>
        <w:tc>
          <w:tcPr>
            <w:tcW w:w="81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(5,114)</w:t>
            </w: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(70,339)</w:t>
            </w: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(69,779)</w:t>
            </w: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sz w:val="14"/>
                <w:szCs w:val="14"/>
              </w:rPr>
            </w:pPr>
            <w:r>
              <w:rPr>
                <w:sz w:val="14"/>
                <w:szCs w:val="14"/>
              </w:rPr>
              <w:t>(96,704)</w:t>
            </w: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(121,768)</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(70,339)</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(123,955)</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(161,654)</w:t>
            </w:r>
          </w:p>
        </w:tc>
      </w:tr>
      <w:tr w:rsidR="00295B77"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295B77" w:rsidRPr="008C32C5" w:rsidRDefault="00295B77" w:rsidP="00295B77">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(18,704)</w:t>
            </w:r>
          </w:p>
        </w:tc>
        <w:tc>
          <w:tcPr>
            <w:tcW w:w="81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(9,453)</w:t>
            </w: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(20,741)</w:t>
            </w: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(23,081)</w:t>
            </w: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sz w:val="14"/>
                <w:szCs w:val="14"/>
              </w:rPr>
            </w:pPr>
            <w:r>
              <w:rPr>
                <w:sz w:val="14"/>
                <w:szCs w:val="14"/>
              </w:rPr>
              <w:t>(49,777)</w:t>
            </w: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(31,266)</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(20,741)</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(40,457)</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(46,885)</w:t>
            </w:r>
          </w:p>
        </w:tc>
      </w:tr>
      <w:tr w:rsidR="00295B77"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295B77" w:rsidRPr="008C32C5" w:rsidRDefault="00295B77" w:rsidP="00295B77">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7,279</w:t>
            </w:r>
          </w:p>
        </w:tc>
        <w:tc>
          <w:tcPr>
            <w:tcW w:w="81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5,515</w:t>
            </w: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(97)</w:t>
            </w: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2,361</w:t>
            </w: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sz w:val="14"/>
                <w:szCs w:val="14"/>
              </w:rPr>
            </w:pPr>
            <w:r>
              <w:rPr>
                <w:sz w:val="14"/>
                <w:szCs w:val="14"/>
              </w:rPr>
              <w:t>833</w:t>
            </w: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(10,450)</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(97)</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(4,883)</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(8,314)</w:t>
            </w:r>
          </w:p>
        </w:tc>
      </w:tr>
      <w:tr w:rsidR="00295B77"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295B77" w:rsidRPr="008C32C5" w:rsidRDefault="00295B77" w:rsidP="00295B77">
            <w:pPr>
              <w:ind w:firstLineChars="196" w:firstLine="314"/>
              <w:jc w:val="left"/>
              <w:rPr>
                <w:szCs w:val="16"/>
              </w:rPr>
            </w:pPr>
            <w:r>
              <w:rPr>
                <w:szCs w:val="16"/>
              </w:rPr>
              <w:t xml:space="preserve">       </w:t>
            </w:r>
            <w:r w:rsidRPr="008C32C5">
              <w:rPr>
                <w:szCs w:val="16"/>
              </w:rPr>
              <w:t>d) Gilgit-Baltistan</w:t>
            </w:r>
          </w:p>
        </w:tc>
        <w:tc>
          <w:tcPr>
            <w:tcW w:w="84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(9,239)</w:t>
            </w:r>
          </w:p>
        </w:tc>
        <w:tc>
          <w:tcPr>
            <w:tcW w:w="81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(15,888)</w:t>
            </w: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(14,174)</w:t>
            </w: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(17,754)</w:t>
            </w: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sz w:val="14"/>
                <w:szCs w:val="14"/>
              </w:rPr>
            </w:pPr>
            <w:r>
              <w:rPr>
                <w:sz w:val="14"/>
                <w:szCs w:val="14"/>
              </w:rPr>
              <w:t>(18,937)</w:t>
            </w: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(21,671)</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(14,174)</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(15,853)</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(17,020)</w:t>
            </w:r>
          </w:p>
        </w:tc>
      </w:tr>
      <w:tr w:rsidR="00295B77"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295B77" w:rsidRPr="008C32C5" w:rsidRDefault="00295B77" w:rsidP="00295B77">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(12,985)</w:t>
            </w:r>
          </w:p>
        </w:tc>
        <w:tc>
          <w:tcPr>
            <w:tcW w:w="81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(12,971)</w:t>
            </w: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(16,220)</w:t>
            </w: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(13,633)</w:t>
            </w: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sz w:val="14"/>
                <w:szCs w:val="14"/>
              </w:rPr>
            </w:pPr>
            <w:r>
              <w:rPr>
                <w:sz w:val="14"/>
                <w:szCs w:val="14"/>
              </w:rPr>
              <w:t>(13,273)</w:t>
            </w: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(14,873)</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(16,220)</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(16,554)</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(17,216)</w:t>
            </w:r>
          </w:p>
        </w:tc>
      </w:tr>
      <w:tr w:rsidR="00295B77"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295B77" w:rsidRDefault="00295B77" w:rsidP="00295B77">
            <w:pPr>
              <w:jc w:val="left"/>
              <w:rPr>
                <w:b/>
                <w:bCs/>
                <w:szCs w:val="16"/>
              </w:rPr>
            </w:pPr>
            <w:r>
              <w:rPr>
                <w:b/>
                <w:bCs/>
                <w:szCs w:val="16"/>
              </w:rPr>
              <w:t xml:space="preserve">   2. Credit to Non-Govt. Sector (i+ii+iii)</w:t>
            </w:r>
          </w:p>
        </w:tc>
        <w:tc>
          <w:tcPr>
            <w:tcW w:w="84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491,157</w:t>
            </w:r>
          </w:p>
        </w:tc>
        <w:tc>
          <w:tcPr>
            <w:tcW w:w="81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562,297</w:t>
            </w: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677,282</w:t>
            </w: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579,078</w:t>
            </w: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b/>
                <w:bCs/>
                <w:sz w:val="14"/>
                <w:szCs w:val="14"/>
              </w:rPr>
            </w:pPr>
            <w:r>
              <w:rPr>
                <w:b/>
                <w:bCs/>
                <w:sz w:val="14"/>
                <w:szCs w:val="14"/>
              </w:rPr>
              <w:t>374,291</w:t>
            </w: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673,790</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677,282</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687,332</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584,853</w:t>
            </w:r>
          </w:p>
        </w:tc>
      </w:tr>
      <w:tr w:rsidR="00295B77" w:rsidRPr="009B6E8A" w:rsidTr="00AB7A08">
        <w:trPr>
          <w:trHeight w:hRule="exact" w:val="236"/>
          <w:jc w:val="center"/>
        </w:trPr>
        <w:tc>
          <w:tcPr>
            <w:tcW w:w="3341" w:type="dxa"/>
            <w:gridSpan w:val="2"/>
            <w:tcBorders>
              <w:top w:val="nil"/>
              <w:left w:val="nil"/>
              <w:bottom w:val="nil"/>
              <w:right w:val="nil"/>
            </w:tcBorders>
            <w:shd w:val="clear" w:color="auto" w:fill="auto"/>
            <w:noWrap/>
            <w:vAlign w:val="center"/>
            <w:hideMark/>
          </w:tcPr>
          <w:p w:rsidR="00295B77" w:rsidRPr="008C32C5" w:rsidRDefault="00295B77" w:rsidP="00295B77">
            <w:pPr>
              <w:ind w:firstLineChars="84" w:firstLine="134"/>
              <w:jc w:val="left"/>
              <w:rPr>
                <w:szCs w:val="16"/>
              </w:rPr>
            </w:pPr>
            <w:r w:rsidRPr="008C32C5">
              <w:rPr>
                <w:szCs w:val="16"/>
              </w:rPr>
              <w:t xml:space="preserve">    i. Claims on Sch. Banks  (a+b+c+d+e)</w:t>
            </w:r>
          </w:p>
        </w:tc>
        <w:tc>
          <w:tcPr>
            <w:tcW w:w="84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500,160</w:t>
            </w:r>
          </w:p>
        </w:tc>
        <w:tc>
          <w:tcPr>
            <w:tcW w:w="81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569,866</w:t>
            </w:r>
          </w:p>
        </w:tc>
        <w:tc>
          <w:tcPr>
            <w:tcW w:w="741"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682,680</w:t>
            </w:r>
          </w:p>
        </w:tc>
        <w:tc>
          <w:tcPr>
            <w:tcW w:w="707"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586,089</w:t>
            </w:r>
          </w:p>
        </w:tc>
        <w:tc>
          <w:tcPr>
            <w:tcW w:w="769" w:type="dxa"/>
            <w:tcBorders>
              <w:top w:val="nil"/>
              <w:left w:val="nil"/>
              <w:bottom w:val="nil"/>
              <w:right w:val="nil"/>
            </w:tcBorders>
            <w:shd w:val="clear" w:color="auto" w:fill="auto"/>
            <w:tcMar>
              <w:left w:w="43" w:type="dxa"/>
              <w:right w:w="43" w:type="dxa"/>
            </w:tcMar>
            <w:vAlign w:val="center"/>
          </w:tcPr>
          <w:p w:rsidR="00295B77" w:rsidRDefault="00295B77" w:rsidP="00295B77">
            <w:pPr>
              <w:jc w:val="right"/>
              <w:rPr>
                <w:sz w:val="14"/>
                <w:szCs w:val="14"/>
              </w:rPr>
            </w:pPr>
            <w:r>
              <w:rPr>
                <w:sz w:val="14"/>
                <w:szCs w:val="14"/>
              </w:rPr>
              <w:t>381,297</w:t>
            </w:r>
          </w:p>
        </w:tc>
        <w:tc>
          <w:tcPr>
            <w:tcW w:w="851" w:type="dxa"/>
            <w:tcBorders>
              <w:top w:val="nil"/>
              <w:left w:val="nil"/>
              <w:bottom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679,479</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682,680</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692,828</w:t>
            </w:r>
          </w:p>
        </w:tc>
        <w:tc>
          <w:tcPr>
            <w:tcW w:w="810" w:type="dxa"/>
            <w:tcBorders>
              <w:top w:val="nil"/>
              <w:left w:val="nil"/>
              <w:bottom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589,982</w:t>
            </w:r>
          </w:p>
        </w:tc>
      </w:tr>
      <w:tr w:rsidR="00295B77"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295B77" w:rsidRDefault="00295B77" w:rsidP="00295B77">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1,217</w:t>
            </w:r>
          </w:p>
        </w:tc>
        <w:tc>
          <w:tcPr>
            <w:tcW w:w="811"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1,056</w:t>
            </w:r>
          </w:p>
        </w:tc>
        <w:tc>
          <w:tcPr>
            <w:tcW w:w="741"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1,279</w:t>
            </w:r>
          </w:p>
        </w:tc>
        <w:tc>
          <w:tcPr>
            <w:tcW w:w="707"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1,007</w:t>
            </w:r>
          </w:p>
        </w:tc>
        <w:tc>
          <w:tcPr>
            <w:tcW w:w="769" w:type="dxa"/>
            <w:tcBorders>
              <w:top w:val="nil"/>
              <w:left w:val="nil"/>
              <w:right w:val="nil"/>
            </w:tcBorders>
            <w:shd w:val="clear" w:color="auto" w:fill="auto"/>
            <w:tcMar>
              <w:left w:w="43" w:type="dxa"/>
              <w:right w:w="43" w:type="dxa"/>
            </w:tcMar>
            <w:vAlign w:val="center"/>
          </w:tcPr>
          <w:p w:rsidR="00295B77" w:rsidRDefault="00295B77" w:rsidP="00295B77">
            <w:pPr>
              <w:jc w:val="right"/>
              <w:rPr>
                <w:sz w:val="14"/>
                <w:szCs w:val="14"/>
              </w:rPr>
            </w:pPr>
            <w:r>
              <w:rPr>
                <w:sz w:val="14"/>
                <w:szCs w:val="14"/>
              </w:rPr>
              <w:t>1,053</w:t>
            </w:r>
          </w:p>
        </w:tc>
        <w:tc>
          <w:tcPr>
            <w:tcW w:w="851"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1,122</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1,279</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1,277</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1,336</w:t>
            </w:r>
          </w:p>
        </w:tc>
      </w:tr>
      <w:tr w:rsidR="00295B77"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295B77" w:rsidRDefault="00295B77" w:rsidP="00295B77">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79,196</w:t>
            </w:r>
          </w:p>
        </w:tc>
        <w:tc>
          <w:tcPr>
            <w:tcW w:w="811"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113,524</w:t>
            </w:r>
          </w:p>
        </w:tc>
        <w:tc>
          <w:tcPr>
            <w:tcW w:w="741"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150,030</w:t>
            </w:r>
          </w:p>
        </w:tc>
        <w:tc>
          <w:tcPr>
            <w:tcW w:w="707"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113,556</w:t>
            </w:r>
          </w:p>
        </w:tc>
        <w:tc>
          <w:tcPr>
            <w:tcW w:w="769" w:type="dxa"/>
            <w:tcBorders>
              <w:top w:val="nil"/>
              <w:left w:val="nil"/>
              <w:right w:val="nil"/>
            </w:tcBorders>
            <w:shd w:val="clear" w:color="auto" w:fill="auto"/>
            <w:tcMar>
              <w:left w:w="43" w:type="dxa"/>
              <w:right w:w="43" w:type="dxa"/>
            </w:tcMar>
            <w:vAlign w:val="center"/>
          </w:tcPr>
          <w:p w:rsidR="00295B77" w:rsidRDefault="00295B77" w:rsidP="00295B77">
            <w:pPr>
              <w:jc w:val="right"/>
              <w:rPr>
                <w:sz w:val="14"/>
                <w:szCs w:val="14"/>
              </w:rPr>
            </w:pPr>
            <w:r>
              <w:rPr>
                <w:sz w:val="14"/>
                <w:szCs w:val="14"/>
              </w:rPr>
              <w:t>115,779</w:t>
            </w:r>
          </w:p>
        </w:tc>
        <w:tc>
          <w:tcPr>
            <w:tcW w:w="851"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146,930</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150,030</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151,466</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155,247</w:t>
            </w:r>
          </w:p>
        </w:tc>
      </w:tr>
      <w:tr w:rsidR="00295B77"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295B77" w:rsidRDefault="00295B77" w:rsidP="00295B77">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238,383</w:t>
            </w:r>
          </w:p>
        </w:tc>
        <w:tc>
          <w:tcPr>
            <w:tcW w:w="811"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292,539</w:t>
            </w:r>
          </w:p>
        </w:tc>
        <w:tc>
          <w:tcPr>
            <w:tcW w:w="741"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386,842</w:t>
            </w:r>
          </w:p>
        </w:tc>
        <w:tc>
          <w:tcPr>
            <w:tcW w:w="707"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308,779</w:t>
            </w:r>
          </w:p>
        </w:tc>
        <w:tc>
          <w:tcPr>
            <w:tcW w:w="769" w:type="dxa"/>
            <w:tcBorders>
              <w:top w:val="nil"/>
              <w:left w:val="nil"/>
              <w:right w:val="nil"/>
            </w:tcBorders>
            <w:shd w:val="clear" w:color="auto" w:fill="auto"/>
            <w:tcMar>
              <w:left w:w="43" w:type="dxa"/>
              <w:right w:w="43" w:type="dxa"/>
            </w:tcMar>
            <w:vAlign w:val="center"/>
          </w:tcPr>
          <w:p w:rsidR="00295B77" w:rsidRDefault="00295B77" w:rsidP="00295B77">
            <w:pPr>
              <w:jc w:val="right"/>
              <w:rPr>
                <w:sz w:val="14"/>
                <w:szCs w:val="14"/>
              </w:rPr>
            </w:pPr>
            <w:r>
              <w:rPr>
                <w:sz w:val="14"/>
                <w:szCs w:val="14"/>
              </w:rPr>
              <w:t>101,717</w:t>
            </w:r>
          </w:p>
        </w:tc>
        <w:tc>
          <w:tcPr>
            <w:tcW w:w="851"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385,760</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386,842</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395,587</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287,534</w:t>
            </w:r>
          </w:p>
        </w:tc>
      </w:tr>
      <w:tr w:rsidR="00295B77"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295B77" w:rsidRDefault="00295B77" w:rsidP="00295B77">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295B77" w:rsidRPr="008C32C5" w:rsidRDefault="00295B77" w:rsidP="00295B77">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w:t>
            </w:r>
          </w:p>
        </w:tc>
        <w:tc>
          <w:tcPr>
            <w:tcW w:w="707"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w:t>
            </w:r>
          </w:p>
        </w:tc>
        <w:tc>
          <w:tcPr>
            <w:tcW w:w="769" w:type="dxa"/>
            <w:tcBorders>
              <w:top w:val="nil"/>
              <w:left w:val="nil"/>
              <w:right w:val="nil"/>
            </w:tcBorders>
            <w:shd w:val="clear" w:color="auto" w:fill="auto"/>
            <w:tcMar>
              <w:left w:w="43" w:type="dxa"/>
              <w:right w:w="43" w:type="dxa"/>
            </w:tcMar>
            <w:vAlign w:val="center"/>
          </w:tcPr>
          <w:p w:rsidR="00295B77" w:rsidRDefault="00295B77" w:rsidP="00295B77">
            <w:pPr>
              <w:jc w:val="right"/>
              <w:rPr>
                <w:sz w:val="14"/>
                <w:szCs w:val="14"/>
              </w:rPr>
            </w:pPr>
            <w:r>
              <w:rPr>
                <w:sz w:val="14"/>
                <w:szCs w:val="14"/>
              </w:rPr>
              <w:t>-</w:t>
            </w:r>
          </w:p>
        </w:tc>
        <w:tc>
          <w:tcPr>
            <w:tcW w:w="851"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w:t>
            </w:r>
          </w:p>
        </w:tc>
      </w:tr>
      <w:tr w:rsidR="00295B77"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295B77" w:rsidRDefault="00295B77" w:rsidP="00295B77">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181,364</w:t>
            </w:r>
          </w:p>
        </w:tc>
        <w:tc>
          <w:tcPr>
            <w:tcW w:w="811"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162,747</w:t>
            </w:r>
          </w:p>
        </w:tc>
        <w:tc>
          <w:tcPr>
            <w:tcW w:w="741"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144,529</w:t>
            </w:r>
          </w:p>
        </w:tc>
        <w:tc>
          <w:tcPr>
            <w:tcW w:w="707"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162,748</w:t>
            </w:r>
          </w:p>
        </w:tc>
        <w:tc>
          <w:tcPr>
            <w:tcW w:w="769" w:type="dxa"/>
            <w:tcBorders>
              <w:top w:val="nil"/>
              <w:left w:val="nil"/>
              <w:right w:val="nil"/>
            </w:tcBorders>
            <w:shd w:val="clear" w:color="auto" w:fill="auto"/>
            <w:tcMar>
              <w:left w:w="43" w:type="dxa"/>
              <w:right w:w="43" w:type="dxa"/>
            </w:tcMar>
            <w:vAlign w:val="center"/>
          </w:tcPr>
          <w:p w:rsidR="00295B77" w:rsidRDefault="00295B77" w:rsidP="00295B77">
            <w:pPr>
              <w:jc w:val="right"/>
              <w:rPr>
                <w:sz w:val="14"/>
                <w:szCs w:val="14"/>
              </w:rPr>
            </w:pPr>
            <w:r>
              <w:rPr>
                <w:sz w:val="14"/>
                <w:szCs w:val="14"/>
              </w:rPr>
              <w:t>162,748</w:t>
            </w:r>
          </w:p>
        </w:tc>
        <w:tc>
          <w:tcPr>
            <w:tcW w:w="851"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145,666</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144,529</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144,498</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145,865</w:t>
            </w:r>
          </w:p>
        </w:tc>
      </w:tr>
      <w:tr w:rsidR="00295B77" w:rsidRPr="009B6E8A" w:rsidTr="00AB7A08">
        <w:trPr>
          <w:trHeight w:hRule="exact" w:val="236"/>
          <w:jc w:val="center"/>
        </w:trPr>
        <w:tc>
          <w:tcPr>
            <w:tcW w:w="3341" w:type="dxa"/>
            <w:gridSpan w:val="2"/>
            <w:tcBorders>
              <w:top w:val="nil"/>
              <w:left w:val="nil"/>
              <w:right w:val="nil"/>
            </w:tcBorders>
            <w:shd w:val="clear" w:color="auto" w:fill="auto"/>
            <w:noWrap/>
            <w:vAlign w:val="center"/>
            <w:hideMark/>
          </w:tcPr>
          <w:p w:rsidR="00295B77" w:rsidRPr="008C32C5" w:rsidRDefault="00295B77" w:rsidP="00295B77">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15,241</w:t>
            </w:r>
          </w:p>
        </w:tc>
        <w:tc>
          <w:tcPr>
            <w:tcW w:w="811"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16,675</w:t>
            </w:r>
          </w:p>
        </w:tc>
        <w:tc>
          <w:tcPr>
            <w:tcW w:w="741"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18,846</w:t>
            </w:r>
          </w:p>
        </w:tc>
        <w:tc>
          <w:tcPr>
            <w:tcW w:w="707"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17,233</w:t>
            </w:r>
          </w:p>
        </w:tc>
        <w:tc>
          <w:tcPr>
            <w:tcW w:w="769" w:type="dxa"/>
            <w:tcBorders>
              <w:top w:val="nil"/>
              <w:left w:val="nil"/>
              <w:right w:val="nil"/>
            </w:tcBorders>
            <w:shd w:val="clear" w:color="auto" w:fill="auto"/>
            <w:tcMar>
              <w:left w:w="43" w:type="dxa"/>
              <w:right w:w="43" w:type="dxa"/>
            </w:tcMar>
            <w:vAlign w:val="center"/>
          </w:tcPr>
          <w:p w:rsidR="00295B77" w:rsidRDefault="00295B77" w:rsidP="00295B77">
            <w:pPr>
              <w:jc w:val="right"/>
              <w:rPr>
                <w:sz w:val="14"/>
                <w:szCs w:val="14"/>
              </w:rPr>
            </w:pPr>
            <w:r>
              <w:rPr>
                <w:sz w:val="14"/>
                <w:szCs w:val="14"/>
              </w:rPr>
              <w:t>17,239</w:t>
            </w:r>
          </w:p>
        </w:tc>
        <w:tc>
          <w:tcPr>
            <w:tcW w:w="851"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18,556</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18,846</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18,748</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19,115</w:t>
            </w:r>
          </w:p>
        </w:tc>
      </w:tr>
      <w:tr w:rsidR="00295B77" w:rsidRPr="009B6E8A" w:rsidTr="00AB7A08">
        <w:trPr>
          <w:trHeight w:hRule="exact" w:val="369"/>
          <w:jc w:val="center"/>
        </w:trPr>
        <w:tc>
          <w:tcPr>
            <w:tcW w:w="3341" w:type="dxa"/>
            <w:gridSpan w:val="2"/>
            <w:tcBorders>
              <w:top w:val="nil"/>
              <w:left w:val="nil"/>
              <w:right w:val="nil"/>
            </w:tcBorders>
            <w:shd w:val="clear" w:color="auto" w:fill="auto"/>
            <w:noWrap/>
            <w:vAlign w:val="center"/>
            <w:hideMark/>
          </w:tcPr>
          <w:p w:rsidR="00295B77" w:rsidRDefault="00295B77" w:rsidP="00295B77">
            <w:pPr>
              <w:ind w:firstLineChars="196" w:firstLine="314"/>
              <w:jc w:val="left"/>
              <w:rPr>
                <w:szCs w:val="16"/>
              </w:rPr>
            </w:pPr>
            <w:r>
              <w:rPr>
                <w:szCs w:val="16"/>
              </w:rPr>
              <w:t>iii. PSEs Special A/C</w:t>
            </w:r>
            <w:r w:rsidRPr="008C32C5">
              <w:rPr>
                <w:szCs w:val="16"/>
              </w:rPr>
              <w:t xml:space="preserve"> Debt Repayment</w:t>
            </w:r>
          </w:p>
          <w:p w:rsidR="00295B77" w:rsidRPr="008C32C5" w:rsidRDefault="00295B77" w:rsidP="00295B77">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(24,244)</w:t>
            </w:r>
          </w:p>
        </w:tc>
        <w:tc>
          <w:tcPr>
            <w:tcW w:w="707"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(24,244)</w:t>
            </w:r>
          </w:p>
        </w:tc>
        <w:tc>
          <w:tcPr>
            <w:tcW w:w="769" w:type="dxa"/>
            <w:tcBorders>
              <w:top w:val="nil"/>
              <w:left w:val="nil"/>
              <w:right w:val="nil"/>
            </w:tcBorders>
            <w:shd w:val="clear" w:color="auto" w:fill="auto"/>
            <w:tcMar>
              <w:left w:w="43" w:type="dxa"/>
              <w:right w:w="43" w:type="dxa"/>
            </w:tcMar>
            <w:vAlign w:val="center"/>
          </w:tcPr>
          <w:p w:rsidR="00295B77" w:rsidRDefault="00295B77" w:rsidP="00295B77">
            <w:pPr>
              <w:jc w:val="right"/>
              <w:rPr>
                <w:sz w:val="14"/>
                <w:szCs w:val="14"/>
              </w:rPr>
            </w:pPr>
            <w:r>
              <w:rPr>
                <w:sz w:val="14"/>
                <w:szCs w:val="14"/>
              </w:rPr>
              <w:t>(24,244)</w:t>
            </w:r>
          </w:p>
        </w:tc>
        <w:tc>
          <w:tcPr>
            <w:tcW w:w="851"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14"/>
                <w:szCs w:val="14"/>
              </w:rPr>
            </w:pPr>
            <w:r>
              <w:rPr>
                <w:sz w:val="14"/>
                <w:szCs w:val="14"/>
              </w:rPr>
              <w:t>(24,244)</w:t>
            </w:r>
          </w:p>
        </w:tc>
      </w:tr>
      <w:tr w:rsidR="00295B77" w:rsidRPr="009B6E8A" w:rsidTr="00AB7A08">
        <w:trPr>
          <w:trHeight w:hRule="exact" w:val="276"/>
          <w:jc w:val="center"/>
        </w:trPr>
        <w:tc>
          <w:tcPr>
            <w:tcW w:w="3341" w:type="dxa"/>
            <w:gridSpan w:val="2"/>
            <w:tcBorders>
              <w:top w:val="nil"/>
              <w:left w:val="nil"/>
              <w:right w:val="nil"/>
            </w:tcBorders>
            <w:shd w:val="clear" w:color="auto" w:fill="auto"/>
            <w:noWrap/>
            <w:vAlign w:val="center"/>
            <w:hideMark/>
          </w:tcPr>
          <w:p w:rsidR="00295B77" w:rsidRDefault="00295B77" w:rsidP="00295B77">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1,210,768</w:t>
            </w:r>
          </w:p>
        </w:tc>
        <w:tc>
          <w:tcPr>
            <w:tcW w:w="811" w:type="dxa"/>
            <w:tcBorders>
              <w:top w:val="nil"/>
              <w:left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1,309,445</w:t>
            </w:r>
          </w:p>
        </w:tc>
        <w:tc>
          <w:tcPr>
            <w:tcW w:w="741" w:type="dxa"/>
            <w:tcBorders>
              <w:top w:val="nil"/>
              <w:left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346,823</w:t>
            </w:r>
          </w:p>
        </w:tc>
        <w:tc>
          <w:tcPr>
            <w:tcW w:w="707"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1,071,048</w:t>
            </w:r>
          </w:p>
        </w:tc>
        <w:tc>
          <w:tcPr>
            <w:tcW w:w="769" w:type="dxa"/>
            <w:tcBorders>
              <w:top w:val="nil"/>
              <w:left w:val="nil"/>
              <w:right w:val="nil"/>
            </w:tcBorders>
            <w:shd w:val="clear" w:color="auto" w:fill="auto"/>
            <w:tcMar>
              <w:left w:w="43" w:type="dxa"/>
              <w:right w:w="43" w:type="dxa"/>
            </w:tcMar>
            <w:vAlign w:val="center"/>
          </w:tcPr>
          <w:p w:rsidR="00295B77" w:rsidRDefault="00295B77" w:rsidP="00295B77">
            <w:pPr>
              <w:jc w:val="right"/>
              <w:rPr>
                <w:b/>
                <w:bCs/>
                <w:sz w:val="14"/>
                <w:szCs w:val="14"/>
              </w:rPr>
            </w:pPr>
            <w:r>
              <w:rPr>
                <w:b/>
                <w:bCs/>
                <w:sz w:val="14"/>
                <w:szCs w:val="14"/>
              </w:rPr>
              <w:t>447,755</w:t>
            </w:r>
          </w:p>
        </w:tc>
        <w:tc>
          <w:tcPr>
            <w:tcW w:w="851"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368,268</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346,823</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1,305,683</w:t>
            </w: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578,059</w:t>
            </w:r>
          </w:p>
        </w:tc>
      </w:tr>
      <w:tr w:rsidR="00295B77" w:rsidRPr="009B6E8A" w:rsidTr="00AB7A08">
        <w:trPr>
          <w:trHeight w:hRule="exact" w:val="236"/>
          <w:jc w:val="center"/>
        </w:trPr>
        <w:tc>
          <w:tcPr>
            <w:tcW w:w="3341" w:type="dxa"/>
            <w:gridSpan w:val="2"/>
            <w:tcBorders>
              <w:top w:val="nil"/>
              <w:left w:val="nil"/>
              <w:right w:val="nil"/>
            </w:tcBorders>
            <w:shd w:val="clear" w:color="auto" w:fill="auto"/>
            <w:noWrap/>
            <w:vAlign w:val="bottom"/>
            <w:hideMark/>
          </w:tcPr>
          <w:p w:rsidR="00295B77" w:rsidRDefault="00295B77" w:rsidP="00295B77">
            <w:pPr>
              <w:rPr>
                <w:b/>
                <w:bCs/>
                <w:szCs w:val="16"/>
              </w:rPr>
            </w:pPr>
          </w:p>
        </w:tc>
        <w:tc>
          <w:tcPr>
            <w:tcW w:w="847"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sz w:val="20"/>
              </w:rPr>
            </w:pPr>
          </w:p>
        </w:tc>
        <w:tc>
          <w:tcPr>
            <w:tcW w:w="811"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20"/>
              </w:rPr>
            </w:pPr>
          </w:p>
        </w:tc>
        <w:tc>
          <w:tcPr>
            <w:tcW w:w="741" w:type="dxa"/>
            <w:tcBorders>
              <w:top w:val="nil"/>
              <w:left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p>
        </w:tc>
        <w:tc>
          <w:tcPr>
            <w:tcW w:w="707"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p>
        </w:tc>
        <w:tc>
          <w:tcPr>
            <w:tcW w:w="769" w:type="dxa"/>
            <w:tcBorders>
              <w:top w:val="nil"/>
              <w:left w:val="nil"/>
              <w:right w:val="nil"/>
            </w:tcBorders>
            <w:shd w:val="clear" w:color="auto" w:fill="auto"/>
            <w:tcMar>
              <w:left w:w="43" w:type="dxa"/>
              <w:right w:w="43" w:type="dxa"/>
            </w:tcMar>
            <w:vAlign w:val="center"/>
          </w:tcPr>
          <w:p w:rsidR="00295B77" w:rsidRDefault="00295B77" w:rsidP="00295B77">
            <w:pPr>
              <w:jc w:val="right"/>
              <w:rPr>
                <w:b/>
                <w:bCs/>
                <w:sz w:val="14"/>
                <w:szCs w:val="14"/>
              </w:rPr>
            </w:pPr>
          </w:p>
        </w:tc>
        <w:tc>
          <w:tcPr>
            <w:tcW w:w="851" w:type="dxa"/>
            <w:tcBorders>
              <w:top w:val="nil"/>
              <w:left w:val="nil"/>
              <w:right w:val="nil"/>
            </w:tcBorders>
            <w:shd w:val="clear" w:color="auto" w:fill="auto"/>
            <w:noWrap/>
            <w:tcMar>
              <w:left w:w="43" w:type="dxa"/>
              <w:right w:w="43" w:type="dxa"/>
            </w:tcMar>
            <w:vAlign w:val="center"/>
            <w:hideMark/>
          </w:tcPr>
          <w:p w:rsidR="00295B77" w:rsidRDefault="00295B77" w:rsidP="00295B77">
            <w:pPr>
              <w:jc w:val="right"/>
              <w:rPr>
                <w:sz w:val="20"/>
              </w:rPr>
            </w:pP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sz w:val="20"/>
              </w:rPr>
            </w:pPr>
          </w:p>
        </w:tc>
        <w:tc>
          <w:tcPr>
            <w:tcW w:w="810" w:type="dxa"/>
            <w:tcBorders>
              <w:top w:val="nil"/>
              <w:left w:val="nil"/>
              <w:right w:val="nil"/>
            </w:tcBorders>
            <w:shd w:val="clear" w:color="auto" w:fill="auto"/>
            <w:noWrap/>
            <w:tcMar>
              <w:left w:w="43" w:type="dxa"/>
              <w:right w:w="43" w:type="dxa"/>
            </w:tcMar>
            <w:vAlign w:val="center"/>
          </w:tcPr>
          <w:p w:rsidR="00295B77" w:rsidRDefault="00295B77" w:rsidP="00295B77">
            <w:pPr>
              <w:jc w:val="right"/>
              <w:rPr>
                <w:b/>
                <w:bCs/>
                <w:sz w:val="14"/>
                <w:szCs w:val="14"/>
              </w:rPr>
            </w:pPr>
          </w:p>
        </w:tc>
      </w:tr>
      <w:tr w:rsidR="00295B77" w:rsidRPr="009B6E8A" w:rsidTr="00AB7A08">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295B77" w:rsidRDefault="00295B77" w:rsidP="00295B77">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4,867,971</w:t>
            </w:r>
          </w:p>
        </w:tc>
        <w:tc>
          <w:tcPr>
            <w:tcW w:w="811" w:type="dxa"/>
            <w:tcBorders>
              <w:left w:val="nil"/>
              <w:bottom w:val="single" w:sz="12" w:space="0" w:color="auto"/>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5,484,630</w:t>
            </w:r>
          </w:p>
        </w:tc>
        <w:tc>
          <w:tcPr>
            <w:tcW w:w="741" w:type="dxa"/>
            <w:tcBorders>
              <w:left w:val="nil"/>
              <w:bottom w:val="single" w:sz="12" w:space="0" w:color="auto"/>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6,573,430</w:t>
            </w:r>
          </w:p>
        </w:tc>
        <w:tc>
          <w:tcPr>
            <w:tcW w:w="707" w:type="dxa"/>
            <w:tcBorders>
              <w:left w:val="nil"/>
              <w:bottom w:val="single" w:sz="12" w:space="0" w:color="auto"/>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5,452,223</w:t>
            </w:r>
          </w:p>
        </w:tc>
        <w:tc>
          <w:tcPr>
            <w:tcW w:w="769" w:type="dxa"/>
            <w:tcBorders>
              <w:left w:val="nil"/>
              <w:bottom w:val="single" w:sz="12" w:space="0" w:color="auto"/>
              <w:right w:val="nil"/>
            </w:tcBorders>
            <w:shd w:val="clear" w:color="auto" w:fill="auto"/>
            <w:tcMar>
              <w:left w:w="43" w:type="dxa"/>
              <w:right w:w="43" w:type="dxa"/>
            </w:tcMar>
            <w:vAlign w:val="center"/>
          </w:tcPr>
          <w:p w:rsidR="00295B77" w:rsidRDefault="00295B77" w:rsidP="00295B77">
            <w:pPr>
              <w:jc w:val="right"/>
              <w:rPr>
                <w:b/>
                <w:bCs/>
                <w:sz w:val="14"/>
                <w:szCs w:val="14"/>
              </w:rPr>
            </w:pPr>
            <w:r>
              <w:rPr>
                <w:b/>
                <w:bCs/>
                <w:sz w:val="14"/>
                <w:szCs w:val="14"/>
              </w:rPr>
              <w:t>5,595,629</w:t>
            </w:r>
          </w:p>
        </w:tc>
        <w:tc>
          <w:tcPr>
            <w:tcW w:w="851" w:type="dxa"/>
            <w:tcBorders>
              <w:left w:val="nil"/>
              <w:bottom w:val="single" w:sz="12" w:space="0" w:color="auto"/>
              <w:right w:val="nil"/>
            </w:tcBorders>
            <w:shd w:val="clear" w:color="auto" w:fill="auto"/>
            <w:noWrap/>
            <w:tcMar>
              <w:left w:w="43" w:type="dxa"/>
              <w:right w:w="43" w:type="dxa"/>
            </w:tcMar>
            <w:vAlign w:val="center"/>
            <w:hideMark/>
          </w:tcPr>
          <w:p w:rsidR="00295B77" w:rsidRDefault="00295B77" w:rsidP="00295B77">
            <w:pPr>
              <w:jc w:val="right"/>
              <w:rPr>
                <w:b/>
                <w:bCs/>
                <w:sz w:val="14"/>
                <w:szCs w:val="14"/>
              </w:rPr>
            </w:pPr>
            <w:r>
              <w:rPr>
                <w:b/>
                <w:bCs/>
                <w:sz w:val="14"/>
                <w:szCs w:val="14"/>
              </w:rPr>
              <w:t>6,325,976</w:t>
            </w:r>
          </w:p>
        </w:tc>
        <w:tc>
          <w:tcPr>
            <w:tcW w:w="810" w:type="dxa"/>
            <w:tcBorders>
              <w:left w:val="nil"/>
              <w:bottom w:val="single" w:sz="12" w:space="0" w:color="auto"/>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6,573,430</w:t>
            </w:r>
          </w:p>
        </w:tc>
        <w:tc>
          <w:tcPr>
            <w:tcW w:w="810" w:type="dxa"/>
            <w:tcBorders>
              <w:left w:val="nil"/>
              <w:bottom w:val="single" w:sz="12" w:space="0" w:color="auto"/>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6,366,136</w:t>
            </w:r>
          </w:p>
        </w:tc>
        <w:tc>
          <w:tcPr>
            <w:tcW w:w="810" w:type="dxa"/>
            <w:tcBorders>
              <w:left w:val="nil"/>
              <w:bottom w:val="single" w:sz="12" w:space="0" w:color="auto"/>
              <w:right w:val="nil"/>
            </w:tcBorders>
            <w:shd w:val="clear" w:color="auto" w:fill="auto"/>
            <w:noWrap/>
            <w:tcMar>
              <w:left w:w="43" w:type="dxa"/>
              <w:right w:w="43" w:type="dxa"/>
            </w:tcMar>
            <w:vAlign w:val="center"/>
          </w:tcPr>
          <w:p w:rsidR="00295B77" w:rsidRDefault="00295B77" w:rsidP="00295B77">
            <w:pPr>
              <w:jc w:val="right"/>
              <w:rPr>
                <w:b/>
                <w:bCs/>
                <w:sz w:val="14"/>
                <w:szCs w:val="14"/>
              </w:rPr>
            </w:pPr>
            <w:r>
              <w:rPr>
                <w:b/>
                <w:bCs/>
                <w:sz w:val="14"/>
                <w:szCs w:val="14"/>
              </w:rPr>
              <w:t>6,509,463</w:t>
            </w:r>
          </w:p>
        </w:tc>
      </w:tr>
      <w:tr w:rsidR="00295B77"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295B77" w:rsidRPr="00691090" w:rsidRDefault="00295B77" w:rsidP="00295B77">
            <w:pPr>
              <w:jc w:val="right"/>
              <w:rPr>
                <w:sz w:val="14"/>
                <w:szCs w:val="14"/>
              </w:rPr>
            </w:pPr>
            <w:r>
              <w:rPr>
                <w:sz w:val="14"/>
                <w:szCs w:val="14"/>
              </w:rPr>
              <w:t>Source: Statistics &amp; Data Warehouse Department SBP</w:t>
            </w:r>
          </w:p>
        </w:tc>
      </w:tr>
      <w:tr w:rsidR="00295B77"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295B77" w:rsidRPr="00916320" w:rsidRDefault="00295B77" w:rsidP="00295B77">
            <w:pPr>
              <w:ind w:left="405" w:hanging="180"/>
              <w:jc w:val="left"/>
              <w:rPr>
                <w:color w:val="auto"/>
                <w:sz w:val="14"/>
                <w:szCs w:val="14"/>
              </w:rPr>
            </w:pPr>
            <w:r w:rsidRPr="00916320">
              <w:rPr>
                <w:color w:val="auto"/>
                <w:sz w:val="14"/>
                <w:szCs w:val="14"/>
              </w:rPr>
              <w:t>Note:-</w:t>
            </w:r>
          </w:p>
          <w:p w:rsidR="00295B77" w:rsidRPr="00916320" w:rsidRDefault="00295B77" w:rsidP="00295B77">
            <w:pPr>
              <w:ind w:left="405" w:hanging="180"/>
              <w:jc w:val="left"/>
              <w:rPr>
                <w:color w:val="auto"/>
                <w:sz w:val="14"/>
                <w:szCs w:val="14"/>
              </w:rPr>
            </w:pPr>
            <w:r w:rsidRPr="00916320">
              <w:rPr>
                <w:color w:val="auto"/>
                <w:sz w:val="14"/>
                <w:szCs w:val="14"/>
              </w:rPr>
              <w:t>1. Excluding IMF A/c Nos. 1 &amp; 2, SAF loan account, counterpart funds, deposits of foreign central banks, foreign govts, international organizations and deposit money banks.</w:t>
            </w:r>
          </w:p>
          <w:p w:rsidR="00295B77" w:rsidRPr="00916320" w:rsidRDefault="00295B77" w:rsidP="00295B77">
            <w:pPr>
              <w:ind w:left="405" w:hanging="83"/>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295B77" w:rsidRPr="00FF243E" w:rsidRDefault="00295B77" w:rsidP="00295B77">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295B77"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295B77" w:rsidRDefault="00295B77" w:rsidP="00295B77">
            <w:pPr>
              <w:rPr>
                <w:b/>
                <w:bCs/>
                <w:sz w:val="28"/>
                <w:szCs w:val="28"/>
              </w:rPr>
            </w:pPr>
            <w:r>
              <w:rPr>
                <w:b/>
                <w:bCs/>
                <w:sz w:val="28"/>
                <w:szCs w:val="28"/>
              </w:rPr>
              <w:t>2.5   Currency in Circulation</w:t>
            </w:r>
          </w:p>
        </w:tc>
      </w:tr>
      <w:tr w:rsidR="00295B77"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295B77" w:rsidRDefault="00295B77" w:rsidP="00295B77">
            <w:pPr>
              <w:jc w:val="right"/>
              <w:rPr>
                <w:szCs w:val="16"/>
              </w:rPr>
            </w:pPr>
            <w:r>
              <w:rPr>
                <w:szCs w:val="16"/>
              </w:rPr>
              <w:t>( Million  Rupees )</w:t>
            </w:r>
          </w:p>
        </w:tc>
      </w:tr>
      <w:tr w:rsidR="00295B77" w:rsidRPr="009B6E8A" w:rsidTr="00BB085A">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295B77" w:rsidRPr="009B6E8A" w:rsidRDefault="00295B77" w:rsidP="00295B77">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295B77" w:rsidRPr="000D5A5A" w:rsidRDefault="00295B77" w:rsidP="00295B77">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76"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295B77" w:rsidRPr="000D5A5A" w:rsidRDefault="00295B77" w:rsidP="00295B77">
            <w:pPr>
              <w:rPr>
                <w:b/>
                <w:bCs/>
                <w:color w:val="auto"/>
                <w:szCs w:val="16"/>
              </w:rPr>
            </w:pPr>
            <w:r>
              <w:rPr>
                <w:b/>
                <w:bCs/>
                <w:color w:val="auto"/>
                <w:szCs w:val="16"/>
              </w:rPr>
              <w:t>2018</w:t>
            </w:r>
          </w:p>
        </w:tc>
        <w:tc>
          <w:tcPr>
            <w:tcW w:w="3281" w:type="dxa"/>
            <w:gridSpan w:val="4"/>
            <w:tcBorders>
              <w:top w:val="single" w:sz="12" w:space="0" w:color="auto"/>
              <w:left w:val="single" w:sz="4" w:space="0" w:color="auto"/>
              <w:bottom w:val="single" w:sz="4" w:space="0" w:color="auto"/>
              <w:right w:val="nil"/>
            </w:tcBorders>
            <w:shd w:val="clear" w:color="auto" w:fill="auto"/>
            <w:vAlign w:val="center"/>
          </w:tcPr>
          <w:p w:rsidR="00295B77" w:rsidRPr="000D5A5A" w:rsidRDefault="00295B77" w:rsidP="00295B77">
            <w:pPr>
              <w:rPr>
                <w:b/>
                <w:bCs/>
                <w:color w:val="auto"/>
                <w:szCs w:val="16"/>
              </w:rPr>
            </w:pPr>
            <w:r>
              <w:rPr>
                <w:b/>
                <w:bCs/>
                <w:color w:val="auto"/>
                <w:szCs w:val="16"/>
              </w:rPr>
              <w:t>2019</w:t>
            </w:r>
          </w:p>
        </w:tc>
      </w:tr>
      <w:tr w:rsidR="00295B77" w:rsidRPr="009B6E8A" w:rsidTr="00BB085A">
        <w:trPr>
          <w:trHeight w:hRule="exact" w:val="26"/>
          <w:jc w:val="center"/>
        </w:trPr>
        <w:tc>
          <w:tcPr>
            <w:tcW w:w="3341" w:type="dxa"/>
            <w:gridSpan w:val="2"/>
            <w:tcBorders>
              <w:left w:val="nil"/>
              <w:right w:val="single" w:sz="4" w:space="0" w:color="auto"/>
            </w:tcBorders>
            <w:shd w:val="clear" w:color="auto" w:fill="auto"/>
            <w:noWrap/>
            <w:vAlign w:val="center"/>
            <w:hideMark/>
          </w:tcPr>
          <w:p w:rsidR="00295B77" w:rsidRPr="009B6E8A" w:rsidRDefault="00295B77" w:rsidP="00295B77">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hideMark/>
          </w:tcPr>
          <w:p w:rsidR="00295B77" w:rsidRDefault="00295B77" w:rsidP="00295B77">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295B77" w:rsidRDefault="00295B77" w:rsidP="00295B77">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295B77" w:rsidRDefault="00295B77" w:rsidP="00295B77">
            <w:pPr>
              <w:rPr>
                <w:b/>
                <w:bCs/>
                <w:sz w:val="13"/>
                <w:szCs w:val="13"/>
              </w:rPr>
            </w:pPr>
          </w:p>
        </w:tc>
        <w:tc>
          <w:tcPr>
            <w:tcW w:w="707" w:type="dxa"/>
            <w:tcBorders>
              <w:top w:val="single" w:sz="4" w:space="0" w:color="auto"/>
              <w:left w:val="single" w:sz="4" w:space="0" w:color="auto"/>
              <w:right w:val="nil"/>
            </w:tcBorders>
            <w:shd w:val="clear" w:color="auto" w:fill="auto"/>
            <w:noWrap/>
            <w:tcMar>
              <w:left w:w="43" w:type="dxa"/>
              <w:right w:w="43" w:type="dxa"/>
            </w:tcMar>
            <w:vAlign w:val="center"/>
            <w:hideMark/>
          </w:tcPr>
          <w:p w:rsidR="00295B77" w:rsidRDefault="00295B77" w:rsidP="00295B77">
            <w:pPr>
              <w:jc w:val="right"/>
              <w:rPr>
                <w:b/>
                <w:bCs/>
                <w:sz w:val="13"/>
                <w:szCs w:val="13"/>
              </w:rPr>
            </w:pPr>
          </w:p>
        </w:tc>
        <w:tc>
          <w:tcPr>
            <w:tcW w:w="769" w:type="dxa"/>
            <w:tcBorders>
              <w:top w:val="single" w:sz="4" w:space="0" w:color="auto"/>
              <w:left w:val="nil"/>
              <w:right w:val="nil"/>
            </w:tcBorders>
            <w:shd w:val="clear" w:color="auto" w:fill="auto"/>
            <w:tcMar>
              <w:left w:w="43" w:type="dxa"/>
              <w:right w:w="43" w:type="dxa"/>
            </w:tcMar>
            <w:vAlign w:val="center"/>
            <w:hideMark/>
          </w:tcPr>
          <w:p w:rsidR="00295B77" w:rsidRDefault="00295B77" w:rsidP="00295B77">
            <w:pPr>
              <w:jc w:val="right"/>
              <w:rPr>
                <w:b/>
                <w:bCs/>
                <w:sz w:val="13"/>
                <w:szCs w:val="13"/>
              </w:rPr>
            </w:pPr>
          </w:p>
        </w:tc>
        <w:tc>
          <w:tcPr>
            <w:tcW w:w="851" w:type="dxa"/>
            <w:tcBorders>
              <w:top w:val="single" w:sz="4" w:space="0" w:color="auto"/>
              <w:left w:val="nil"/>
              <w:right w:val="nil"/>
            </w:tcBorders>
            <w:shd w:val="clear" w:color="auto" w:fill="auto"/>
            <w:noWrap/>
            <w:tcMar>
              <w:left w:w="43" w:type="dxa"/>
              <w:right w:w="43" w:type="dxa"/>
            </w:tcMar>
            <w:vAlign w:val="center"/>
            <w:hideMark/>
          </w:tcPr>
          <w:p w:rsidR="00295B77" w:rsidRDefault="00295B77" w:rsidP="00295B77">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295B77" w:rsidRDefault="00295B77" w:rsidP="00295B77">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295B77" w:rsidRDefault="00295B77" w:rsidP="00295B77">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295B77" w:rsidRPr="009B6E8A" w:rsidRDefault="00295B77" w:rsidP="00295B77">
            <w:pPr>
              <w:jc w:val="right"/>
              <w:rPr>
                <w:rFonts w:ascii="Calibri" w:hAnsi="Calibri"/>
                <w:sz w:val="22"/>
                <w:szCs w:val="22"/>
              </w:rPr>
            </w:pPr>
          </w:p>
        </w:tc>
      </w:tr>
      <w:tr w:rsidR="00295B77" w:rsidRPr="009B6E8A" w:rsidTr="00BB085A">
        <w:trPr>
          <w:trHeight w:hRule="exact" w:val="26"/>
          <w:jc w:val="center"/>
        </w:trPr>
        <w:tc>
          <w:tcPr>
            <w:tcW w:w="3341" w:type="dxa"/>
            <w:gridSpan w:val="2"/>
            <w:tcBorders>
              <w:left w:val="nil"/>
              <w:right w:val="single" w:sz="4" w:space="0" w:color="auto"/>
            </w:tcBorders>
            <w:shd w:val="clear" w:color="auto" w:fill="auto"/>
            <w:noWrap/>
            <w:vAlign w:val="center"/>
          </w:tcPr>
          <w:p w:rsidR="00295B77" w:rsidRPr="009B6E8A" w:rsidRDefault="00295B77" w:rsidP="00295B77">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tcPr>
          <w:p w:rsidR="00295B77" w:rsidRDefault="00295B77" w:rsidP="00295B77">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tcPr>
          <w:p w:rsidR="00295B77" w:rsidRDefault="00295B77" w:rsidP="00295B77">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tcPr>
          <w:p w:rsidR="00295B77" w:rsidRDefault="00295B77" w:rsidP="00295B77">
            <w:pPr>
              <w:rPr>
                <w:b/>
                <w:bCs/>
                <w:sz w:val="13"/>
                <w:szCs w:val="13"/>
              </w:rPr>
            </w:pPr>
          </w:p>
        </w:tc>
        <w:tc>
          <w:tcPr>
            <w:tcW w:w="707" w:type="dxa"/>
            <w:tcBorders>
              <w:top w:val="single" w:sz="4" w:space="0" w:color="auto"/>
              <w:left w:val="single" w:sz="4" w:space="0" w:color="auto"/>
              <w:right w:val="nil"/>
            </w:tcBorders>
            <w:shd w:val="clear" w:color="auto" w:fill="auto"/>
            <w:noWrap/>
            <w:tcMar>
              <w:left w:w="43" w:type="dxa"/>
              <w:right w:w="43" w:type="dxa"/>
            </w:tcMar>
            <w:vAlign w:val="center"/>
          </w:tcPr>
          <w:p w:rsidR="00295B77" w:rsidRDefault="00295B77" w:rsidP="00295B77">
            <w:pPr>
              <w:jc w:val="right"/>
              <w:rPr>
                <w:b/>
                <w:bCs/>
                <w:sz w:val="13"/>
                <w:szCs w:val="13"/>
              </w:rPr>
            </w:pPr>
          </w:p>
        </w:tc>
        <w:tc>
          <w:tcPr>
            <w:tcW w:w="769" w:type="dxa"/>
            <w:tcBorders>
              <w:top w:val="single" w:sz="4" w:space="0" w:color="auto"/>
              <w:left w:val="nil"/>
              <w:right w:val="nil"/>
            </w:tcBorders>
            <w:shd w:val="clear" w:color="auto" w:fill="auto"/>
            <w:tcMar>
              <w:left w:w="43" w:type="dxa"/>
              <w:right w:w="43" w:type="dxa"/>
            </w:tcMar>
            <w:vAlign w:val="center"/>
          </w:tcPr>
          <w:p w:rsidR="00295B77" w:rsidRDefault="00295B77" w:rsidP="00295B77">
            <w:pPr>
              <w:jc w:val="right"/>
              <w:rPr>
                <w:b/>
                <w:bCs/>
                <w:sz w:val="13"/>
                <w:szCs w:val="13"/>
              </w:rPr>
            </w:pPr>
          </w:p>
        </w:tc>
        <w:tc>
          <w:tcPr>
            <w:tcW w:w="851" w:type="dxa"/>
            <w:tcBorders>
              <w:top w:val="single" w:sz="4" w:space="0" w:color="auto"/>
              <w:left w:val="nil"/>
              <w:right w:val="nil"/>
            </w:tcBorders>
            <w:shd w:val="clear" w:color="auto" w:fill="auto"/>
            <w:noWrap/>
            <w:tcMar>
              <w:left w:w="43" w:type="dxa"/>
              <w:right w:w="43" w:type="dxa"/>
            </w:tcMar>
            <w:vAlign w:val="center"/>
          </w:tcPr>
          <w:p w:rsidR="00295B77" w:rsidRDefault="00295B77" w:rsidP="00295B77">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tcPr>
          <w:p w:rsidR="00295B77" w:rsidRDefault="00295B77" w:rsidP="00295B77">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tcPr>
          <w:p w:rsidR="00295B77" w:rsidRDefault="00295B77" w:rsidP="00295B77">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tcPr>
          <w:p w:rsidR="00295B77" w:rsidRPr="009B6E8A" w:rsidRDefault="00295B77" w:rsidP="00295B77">
            <w:pPr>
              <w:jc w:val="right"/>
              <w:rPr>
                <w:rFonts w:ascii="Calibri" w:hAnsi="Calibri"/>
                <w:sz w:val="22"/>
                <w:szCs w:val="22"/>
              </w:rPr>
            </w:pPr>
          </w:p>
        </w:tc>
      </w:tr>
      <w:tr w:rsidR="00BB15B7" w:rsidRPr="009B6E8A" w:rsidTr="00AB7A08">
        <w:trPr>
          <w:trHeight w:hRule="exact" w:val="212"/>
          <w:jc w:val="center"/>
        </w:trPr>
        <w:tc>
          <w:tcPr>
            <w:tcW w:w="236" w:type="dxa"/>
            <w:tcBorders>
              <w:left w:val="nil"/>
              <w:bottom w:val="single" w:sz="12" w:space="0" w:color="auto"/>
            </w:tcBorders>
            <w:shd w:val="clear" w:color="auto" w:fill="auto"/>
            <w:noWrap/>
            <w:vAlign w:val="center"/>
            <w:hideMark/>
          </w:tcPr>
          <w:p w:rsidR="00BB15B7" w:rsidRPr="009B6E8A" w:rsidRDefault="00BB15B7" w:rsidP="00BB15B7">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BB15B7" w:rsidRPr="009B6E8A" w:rsidRDefault="00BB15B7" w:rsidP="00BB15B7">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BB15B7" w:rsidRPr="006619BF" w:rsidRDefault="00BB15B7" w:rsidP="00BB15B7">
            <w:pPr>
              <w:jc w:val="right"/>
              <w:rPr>
                <w:b/>
                <w:bCs/>
                <w:color w:val="auto"/>
                <w:sz w:val="14"/>
                <w:szCs w:val="14"/>
              </w:rPr>
            </w:pPr>
            <w:r w:rsidRPr="006619BF">
              <w:rPr>
                <w:b/>
                <w:bCs/>
                <w:color w:val="auto"/>
                <w:sz w:val="14"/>
                <w:szCs w:val="14"/>
              </w:rPr>
              <w:t>FY17</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BB15B7" w:rsidRPr="006619BF" w:rsidRDefault="00BB15B7" w:rsidP="00BB15B7">
            <w:pPr>
              <w:jc w:val="right"/>
              <w:rPr>
                <w:b/>
                <w:bCs/>
                <w:color w:val="auto"/>
                <w:sz w:val="14"/>
                <w:szCs w:val="14"/>
              </w:rPr>
            </w:pPr>
            <w:r>
              <w:rPr>
                <w:b/>
                <w:bCs/>
                <w:color w:val="auto"/>
                <w:sz w:val="14"/>
                <w:szCs w:val="14"/>
              </w:rPr>
              <w:t>FY18</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BB15B7" w:rsidRPr="006619BF" w:rsidRDefault="00BB15B7" w:rsidP="00BB15B7">
            <w:pPr>
              <w:jc w:val="right"/>
              <w:rPr>
                <w:b/>
                <w:bCs/>
                <w:color w:val="auto"/>
                <w:sz w:val="14"/>
                <w:szCs w:val="14"/>
              </w:rPr>
            </w:pPr>
            <w:r>
              <w:rPr>
                <w:b/>
                <w:bCs/>
                <w:color w:val="auto"/>
                <w:sz w:val="14"/>
                <w:szCs w:val="14"/>
              </w:rPr>
              <w:t>FY19</w:t>
            </w:r>
          </w:p>
        </w:tc>
        <w:tc>
          <w:tcPr>
            <w:tcW w:w="707" w:type="dxa"/>
            <w:tcBorders>
              <w:top w:val="nil"/>
              <w:left w:val="single" w:sz="4" w:space="0" w:color="auto"/>
              <w:bottom w:val="single" w:sz="12" w:space="0" w:color="auto"/>
            </w:tcBorders>
            <w:shd w:val="clear" w:color="auto" w:fill="auto"/>
            <w:noWrap/>
            <w:tcMar>
              <w:left w:w="43" w:type="dxa"/>
              <w:right w:w="43" w:type="dxa"/>
            </w:tcMar>
            <w:vAlign w:val="center"/>
            <w:hideMark/>
          </w:tcPr>
          <w:p w:rsidR="00BB15B7" w:rsidRPr="006619BF" w:rsidRDefault="00BB15B7" w:rsidP="00BB15B7">
            <w:pPr>
              <w:jc w:val="right"/>
              <w:rPr>
                <w:b/>
                <w:color w:val="auto"/>
                <w:sz w:val="14"/>
                <w:szCs w:val="14"/>
              </w:rPr>
            </w:pPr>
            <w:r>
              <w:rPr>
                <w:b/>
                <w:color w:val="auto"/>
                <w:sz w:val="14"/>
                <w:szCs w:val="14"/>
              </w:rPr>
              <w:t>Jul</w:t>
            </w:r>
          </w:p>
        </w:tc>
        <w:tc>
          <w:tcPr>
            <w:tcW w:w="769" w:type="dxa"/>
            <w:tcBorders>
              <w:top w:val="nil"/>
              <w:bottom w:val="single" w:sz="12" w:space="0" w:color="auto"/>
              <w:right w:val="single" w:sz="4" w:space="0" w:color="auto"/>
            </w:tcBorders>
            <w:shd w:val="clear" w:color="auto" w:fill="auto"/>
            <w:tcMar>
              <w:left w:w="43" w:type="dxa"/>
              <w:right w:w="43" w:type="dxa"/>
            </w:tcMar>
            <w:vAlign w:val="center"/>
          </w:tcPr>
          <w:p w:rsidR="00BB15B7" w:rsidRPr="006619BF" w:rsidRDefault="00BB15B7" w:rsidP="00BB15B7">
            <w:pPr>
              <w:jc w:val="right"/>
              <w:rPr>
                <w:b/>
                <w:color w:val="auto"/>
                <w:sz w:val="14"/>
                <w:szCs w:val="14"/>
              </w:rPr>
            </w:pPr>
            <w:r>
              <w:rPr>
                <w:b/>
                <w:color w:val="auto"/>
                <w:sz w:val="14"/>
                <w:szCs w:val="14"/>
              </w:rPr>
              <w:t>Aug</w:t>
            </w:r>
          </w:p>
        </w:tc>
        <w:tc>
          <w:tcPr>
            <w:tcW w:w="851" w:type="dxa"/>
            <w:tcBorders>
              <w:top w:val="nil"/>
              <w:left w:val="single" w:sz="4" w:space="0" w:color="auto"/>
              <w:bottom w:val="single" w:sz="12" w:space="0" w:color="auto"/>
            </w:tcBorders>
            <w:shd w:val="clear" w:color="auto" w:fill="auto"/>
            <w:noWrap/>
            <w:tcMar>
              <w:left w:w="43" w:type="dxa"/>
              <w:right w:w="43" w:type="dxa"/>
            </w:tcMar>
            <w:vAlign w:val="center"/>
            <w:hideMark/>
          </w:tcPr>
          <w:p w:rsidR="00BB15B7" w:rsidRPr="006619BF" w:rsidRDefault="00BB15B7" w:rsidP="00BB15B7">
            <w:pPr>
              <w:jc w:val="right"/>
              <w:rPr>
                <w:b/>
                <w:color w:val="auto"/>
                <w:sz w:val="14"/>
                <w:szCs w:val="14"/>
              </w:rPr>
            </w:pPr>
            <w:r>
              <w:rPr>
                <w:b/>
                <w:color w:val="auto"/>
                <w:sz w:val="14"/>
                <w:szCs w:val="14"/>
              </w:rPr>
              <w:t>May</w:t>
            </w:r>
          </w:p>
        </w:tc>
        <w:tc>
          <w:tcPr>
            <w:tcW w:w="810" w:type="dxa"/>
            <w:tcBorders>
              <w:top w:val="nil"/>
              <w:bottom w:val="single" w:sz="12" w:space="0" w:color="auto"/>
            </w:tcBorders>
            <w:shd w:val="clear" w:color="auto" w:fill="auto"/>
            <w:noWrap/>
            <w:tcMar>
              <w:left w:w="43" w:type="dxa"/>
              <w:right w:w="43" w:type="dxa"/>
            </w:tcMar>
            <w:vAlign w:val="center"/>
          </w:tcPr>
          <w:p w:rsidR="00BB15B7" w:rsidRPr="006619BF" w:rsidRDefault="00BB15B7" w:rsidP="00BB15B7">
            <w:pPr>
              <w:jc w:val="right"/>
              <w:rPr>
                <w:b/>
                <w:color w:val="auto"/>
                <w:sz w:val="14"/>
                <w:szCs w:val="14"/>
              </w:rPr>
            </w:pPr>
            <w:r>
              <w:rPr>
                <w:b/>
                <w:color w:val="auto"/>
                <w:sz w:val="14"/>
                <w:szCs w:val="14"/>
              </w:rPr>
              <w:t>Jun</w:t>
            </w:r>
          </w:p>
        </w:tc>
        <w:tc>
          <w:tcPr>
            <w:tcW w:w="810" w:type="dxa"/>
            <w:tcBorders>
              <w:top w:val="nil"/>
              <w:bottom w:val="single" w:sz="12" w:space="0" w:color="auto"/>
            </w:tcBorders>
            <w:shd w:val="clear" w:color="auto" w:fill="auto"/>
            <w:noWrap/>
            <w:tcMar>
              <w:left w:w="43" w:type="dxa"/>
              <w:right w:w="43" w:type="dxa"/>
            </w:tcMar>
            <w:vAlign w:val="center"/>
          </w:tcPr>
          <w:p w:rsidR="00BB15B7" w:rsidRPr="006619BF" w:rsidRDefault="00BB15B7" w:rsidP="00BB15B7">
            <w:pPr>
              <w:jc w:val="right"/>
              <w:rPr>
                <w:b/>
                <w:color w:val="auto"/>
                <w:sz w:val="14"/>
                <w:szCs w:val="14"/>
              </w:rPr>
            </w:pPr>
            <w:r>
              <w:rPr>
                <w:b/>
                <w:color w:val="auto"/>
                <w:sz w:val="14"/>
                <w:szCs w:val="14"/>
              </w:rPr>
              <w:t>Jul</w:t>
            </w:r>
          </w:p>
        </w:tc>
        <w:tc>
          <w:tcPr>
            <w:tcW w:w="810" w:type="dxa"/>
            <w:tcBorders>
              <w:top w:val="nil"/>
              <w:bottom w:val="single" w:sz="12" w:space="0" w:color="auto"/>
              <w:right w:val="nil"/>
            </w:tcBorders>
            <w:shd w:val="clear" w:color="auto" w:fill="auto"/>
            <w:noWrap/>
            <w:tcMar>
              <w:left w:w="43" w:type="dxa"/>
              <w:right w:w="43" w:type="dxa"/>
            </w:tcMar>
            <w:vAlign w:val="center"/>
          </w:tcPr>
          <w:p w:rsidR="00BB15B7" w:rsidRPr="006619BF" w:rsidRDefault="00BB15B7" w:rsidP="00BB15B7">
            <w:pPr>
              <w:jc w:val="right"/>
              <w:rPr>
                <w:b/>
                <w:color w:val="auto"/>
                <w:sz w:val="14"/>
                <w:szCs w:val="14"/>
              </w:rPr>
            </w:pPr>
            <w:r>
              <w:rPr>
                <w:b/>
                <w:color w:val="auto"/>
                <w:sz w:val="14"/>
                <w:szCs w:val="14"/>
              </w:rPr>
              <w:t xml:space="preserve">Aug </w:t>
            </w:r>
            <w:r w:rsidRPr="00A250BE">
              <w:rPr>
                <w:b/>
                <w:color w:val="auto"/>
                <w:sz w:val="14"/>
                <w:szCs w:val="14"/>
                <w:vertAlign w:val="superscript"/>
              </w:rPr>
              <w:t>P</w:t>
            </w:r>
          </w:p>
        </w:tc>
      </w:tr>
      <w:tr w:rsidR="00BB15B7" w:rsidRPr="009B6E8A" w:rsidTr="00BB15B7">
        <w:trPr>
          <w:trHeight w:hRule="exact" w:val="236"/>
          <w:jc w:val="center"/>
        </w:trPr>
        <w:tc>
          <w:tcPr>
            <w:tcW w:w="236" w:type="dxa"/>
            <w:tcBorders>
              <w:top w:val="single" w:sz="12" w:space="0" w:color="auto"/>
              <w:left w:val="nil"/>
            </w:tcBorders>
            <w:shd w:val="clear" w:color="auto" w:fill="auto"/>
            <w:noWrap/>
            <w:vAlign w:val="center"/>
            <w:hideMark/>
          </w:tcPr>
          <w:p w:rsidR="00BB15B7" w:rsidRDefault="00BB15B7" w:rsidP="00BB15B7">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BB15B7" w:rsidRDefault="00BB15B7" w:rsidP="00BB15B7">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BB15B7" w:rsidRDefault="00BB15B7" w:rsidP="00BB15B7">
            <w:pPr>
              <w:jc w:val="right"/>
              <w:rPr>
                <w:sz w:val="14"/>
                <w:szCs w:val="14"/>
              </w:rPr>
            </w:pPr>
            <w:r>
              <w:rPr>
                <w:sz w:val="14"/>
                <w:szCs w:val="14"/>
              </w:rPr>
              <w:t>4,167,136</w:t>
            </w:r>
          </w:p>
        </w:tc>
        <w:tc>
          <w:tcPr>
            <w:tcW w:w="811" w:type="dxa"/>
            <w:tcBorders>
              <w:top w:val="single" w:sz="12" w:space="0" w:color="auto"/>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4,635,147</w:t>
            </w:r>
          </w:p>
        </w:tc>
        <w:tc>
          <w:tcPr>
            <w:tcW w:w="741" w:type="dxa"/>
            <w:tcBorders>
              <w:top w:val="single" w:sz="12" w:space="0" w:color="auto"/>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5,285,026</w:t>
            </w:r>
          </w:p>
        </w:tc>
        <w:tc>
          <w:tcPr>
            <w:tcW w:w="707" w:type="dxa"/>
            <w:tcBorders>
              <w:top w:val="single" w:sz="12" w:space="0" w:color="auto"/>
              <w:left w:val="nil"/>
              <w:right w:val="nil"/>
            </w:tcBorders>
            <w:shd w:val="clear" w:color="auto" w:fill="auto"/>
            <w:noWrap/>
            <w:tcMar>
              <w:left w:w="43" w:type="dxa"/>
              <w:right w:w="43" w:type="dxa"/>
            </w:tcMar>
            <w:vAlign w:val="center"/>
            <w:hideMark/>
          </w:tcPr>
          <w:p w:rsidR="00BB15B7" w:rsidRDefault="00BB15B7" w:rsidP="00BB15B7">
            <w:pPr>
              <w:jc w:val="right"/>
              <w:rPr>
                <w:sz w:val="14"/>
                <w:szCs w:val="14"/>
              </w:rPr>
            </w:pPr>
            <w:r>
              <w:rPr>
                <w:sz w:val="14"/>
                <w:szCs w:val="14"/>
              </w:rPr>
              <w:t>4,634,259</w:t>
            </w:r>
          </w:p>
        </w:tc>
        <w:tc>
          <w:tcPr>
            <w:tcW w:w="769" w:type="dxa"/>
            <w:tcBorders>
              <w:top w:val="single" w:sz="12" w:space="0" w:color="auto"/>
              <w:left w:val="nil"/>
              <w:right w:val="nil"/>
            </w:tcBorders>
            <w:shd w:val="clear" w:color="auto" w:fill="auto"/>
            <w:tcMar>
              <w:left w:w="43" w:type="dxa"/>
              <w:right w:w="43" w:type="dxa"/>
            </w:tcMar>
            <w:vAlign w:val="center"/>
          </w:tcPr>
          <w:p w:rsidR="00BB15B7" w:rsidRDefault="00BB15B7" w:rsidP="00BB15B7">
            <w:pPr>
              <w:jc w:val="right"/>
              <w:rPr>
                <w:sz w:val="14"/>
                <w:szCs w:val="14"/>
              </w:rPr>
            </w:pPr>
            <w:r>
              <w:rPr>
                <w:sz w:val="14"/>
                <w:szCs w:val="14"/>
              </w:rPr>
              <w:t>4,860,145</w:t>
            </w:r>
          </w:p>
        </w:tc>
        <w:tc>
          <w:tcPr>
            <w:tcW w:w="851" w:type="dxa"/>
            <w:tcBorders>
              <w:top w:val="single" w:sz="12" w:space="0" w:color="auto"/>
              <w:left w:val="nil"/>
              <w:right w:val="nil"/>
            </w:tcBorders>
            <w:shd w:val="clear" w:color="auto" w:fill="auto"/>
            <w:noWrap/>
            <w:tcMar>
              <w:left w:w="43" w:type="dxa"/>
              <w:right w:w="43" w:type="dxa"/>
            </w:tcMar>
            <w:vAlign w:val="center"/>
            <w:hideMark/>
          </w:tcPr>
          <w:p w:rsidR="00BB15B7" w:rsidRDefault="00BB15B7" w:rsidP="00BB15B7">
            <w:pPr>
              <w:jc w:val="right"/>
              <w:rPr>
                <w:sz w:val="14"/>
                <w:szCs w:val="14"/>
              </w:rPr>
            </w:pPr>
            <w:r>
              <w:rPr>
                <w:sz w:val="14"/>
                <w:szCs w:val="14"/>
              </w:rPr>
              <w:t>5,412,362</w:t>
            </w:r>
          </w:p>
        </w:tc>
        <w:tc>
          <w:tcPr>
            <w:tcW w:w="810" w:type="dxa"/>
            <w:tcBorders>
              <w:top w:val="single" w:sz="12" w:space="0" w:color="auto"/>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5,285,026</w:t>
            </w:r>
          </w:p>
        </w:tc>
        <w:tc>
          <w:tcPr>
            <w:tcW w:w="810" w:type="dxa"/>
            <w:tcBorders>
              <w:top w:val="single" w:sz="12" w:space="0" w:color="auto"/>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5,466,800</w:t>
            </w:r>
          </w:p>
        </w:tc>
        <w:tc>
          <w:tcPr>
            <w:tcW w:w="810" w:type="dxa"/>
            <w:tcBorders>
              <w:top w:val="single" w:sz="12" w:space="0" w:color="auto"/>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5,584,912</w:t>
            </w:r>
          </w:p>
        </w:tc>
      </w:tr>
      <w:tr w:rsidR="00BB15B7" w:rsidRPr="009B6E8A" w:rsidTr="00BB15B7">
        <w:trPr>
          <w:trHeight w:hRule="exact" w:val="236"/>
          <w:jc w:val="center"/>
        </w:trPr>
        <w:tc>
          <w:tcPr>
            <w:tcW w:w="236" w:type="dxa"/>
            <w:tcBorders>
              <w:top w:val="nil"/>
              <w:left w:val="nil"/>
            </w:tcBorders>
            <w:shd w:val="clear" w:color="auto" w:fill="auto"/>
            <w:noWrap/>
            <w:vAlign w:val="center"/>
            <w:hideMark/>
          </w:tcPr>
          <w:p w:rsidR="00BB15B7" w:rsidRDefault="00BB15B7" w:rsidP="00BB15B7">
            <w:pPr>
              <w:jc w:val="left"/>
              <w:rPr>
                <w:sz w:val="14"/>
                <w:szCs w:val="14"/>
              </w:rPr>
            </w:pPr>
            <w:r>
              <w:rPr>
                <w:sz w:val="14"/>
                <w:szCs w:val="14"/>
              </w:rPr>
              <w:t>2</w:t>
            </w:r>
          </w:p>
        </w:tc>
        <w:tc>
          <w:tcPr>
            <w:tcW w:w="3105" w:type="dxa"/>
            <w:tcBorders>
              <w:top w:val="nil"/>
              <w:right w:val="nil"/>
            </w:tcBorders>
            <w:shd w:val="clear" w:color="auto" w:fill="auto"/>
            <w:vAlign w:val="center"/>
          </w:tcPr>
          <w:p w:rsidR="00BB15B7" w:rsidRDefault="00BB15B7" w:rsidP="00BB15B7">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BB15B7" w:rsidRDefault="00BB15B7" w:rsidP="00BB15B7">
            <w:pPr>
              <w:jc w:val="right"/>
              <w:rPr>
                <w:sz w:val="14"/>
                <w:szCs w:val="14"/>
              </w:rPr>
            </w:pPr>
            <w:r>
              <w:rPr>
                <w:sz w:val="14"/>
                <w:szCs w:val="14"/>
              </w:rPr>
              <w:t>9,779</w:t>
            </w:r>
          </w:p>
        </w:tc>
        <w:tc>
          <w:tcPr>
            <w:tcW w:w="811" w:type="dxa"/>
            <w:tcBorders>
              <w:top w:val="nil"/>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9,754</w:t>
            </w:r>
          </w:p>
        </w:tc>
        <w:tc>
          <w:tcPr>
            <w:tcW w:w="741" w:type="dxa"/>
            <w:tcBorders>
              <w:top w:val="nil"/>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9,728</w:t>
            </w:r>
          </w:p>
        </w:tc>
        <w:tc>
          <w:tcPr>
            <w:tcW w:w="707" w:type="dxa"/>
            <w:tcBorders>
              <w:top w:val="nil"/>
              <w:left w:val="nil"/>
              <w:right w:val="nil"/>
            </w:tcBorders>
            <w:shd w:val="clear" w:color="auto" w:fill="auto"/>
            <w:noWrap/>
            <w:tcMar>
              <w:left w:w="43" w:type="dxa"/>
              <w:right w:w="43" w:type="dxa"/>
            </w:tcMar>
            <w:vAlign w:val="center"/>
            <w:hideMark/>
          </w:tcPr>
          <w:p w:rsidR="00BB15B7" w:rsidRDefault="00BB15B7" w:rsidP="00BB15B7">
            <w:pPr>
              <w:jc w:val="right"/>
              <w:rPr>
                <w:sz w:val="14"/>
                <w:szCs w:val="14"/>
              </w:rPr>
            </w:pPr>
            <w:r>
              <w:rPr>
                <w:sz w:val="14"/>
                <w:szCs w:val="14"/>
              </w:rPr>
              <w:t>9,677</w:t>
            </w:r>
          </w:p>
        </w:tc>
        <w:tc>
          <w:tcPr>
            <w:tcW w:w="769" w:type="dxa"/>
            <w:tcBorders>
              <w:top w:val="nil"/>
              <w:left w:val="nil"/>
              <w:right w:val="nil"/>
            </w:tcBorders>
            <w:shd w:val="clear" w:color="auto" w:fill="auto"/>
            <w:tcMar>
              <w:left w:w="43" w:type="dxa"/>
              <w:right w:w="43" w:type="dxa"/>
            </w:tcMar>
            <w:vAlign w:val="center"/>
          </w:tcPr>
          <w:p w:rsidR="00BB15B7" w:rsidRDefault="00BB15B7" w:rsidP="00BB15B7">
            <w:pPr>
              <w:jc w:val="right"/>
              <w:rPr>
                <w:sz w:val="14"/>
                <w:szCs w:val="14"/>
              </w:rPr>
            </w:pPr>
            <w:r>
              <w:rPr>
                <w:sz w:val="14"/>
                <w:szCs w:val="14"/>
              </w:rPr>
              <w:t>9,703</w:t>
            </w:r>
          </w:p>
        </w:tc>
        <w:tc>
          <w:tcPr>
            <w:tcW w:w="851" w:type="dxa"/>
            <w:tcBorders>
              <w:top w:val="nil"/>
              <w:left w:val="nil"/>
              <w:right w:val="nil"/>
            </w:tcBorders>
            <w:shd w:val="clear" w:color="auto" w:fill="auto"/>
            <w:noWrap/>
            <w:tcMar>
              <w:left w:w="43" w:type="dxa"/>
              <w:right w:w="43" w:type="dxa"/>
            </w:tcMar>
            <w:vAlign w:val="center"/>
            <w:hideMark/>
          </w:tcPr>
          <w:p w:rsidR="00BB15B7" w:rsidRDefault="00BB15B7" w:rsidP="00BB15B7">
            <w:pPr>
              <w:jc w:val="right"/>
              <w:rPr>
                <w:sz w:val="14"/>
                <w:szCs w:val="14"/>
              </w:rPr>
            </w:pPr>
            <w:r>
              <w:rPr>
                <w:sz w:val="14"/>
                <w:szCs w:val="14"/>
              </w:rPr>
              <w:t>9,676</w:t>
            </w:r>
          </w:p>
        </w:tc>
        <w:tc>
          <w:tcPr>
            <w:tcW w:w="810" w:type="dxa"/>
            <w:tcBorders>
              <w:top w:val="nil"/>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9,728</w:t>
            </w:r>
          </w:p>
        </w:tc>
        <w:tc>
          <w:tcPr>
            <w:tcW w:w="810" w:type="dxa"/>
            <w:tcBorders>
              <w:top w:val="nil"/>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9,704</w:t>
            </w:r>
          </w:p>
        </w:tc>
        <w:tc>
          <w:tcPr>
            <w:tcW w:w="810" w:type="dxa"/>
            <w:tcBorders>
              <w:top w:val="nil"/>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9,730</w:t>
            </w:r>
          </w:p>
        </w:tc>
      </w:tr>
      <w:tr w:rsidR="00BB15B7" w:rsidRPr="009B6E8A" w:rsidTr="00BB15B7">
        <w:trPr>
          <w:trHeight w:hRule="exact" w:val="236"/>
          <w:jc w:val="center"/>
        </w:trPr>
        <w:tc>
          <w:tcPr>
            <w:tcW w:w="236" w:type="dxa"/>
            <w:tcBorders>
              <w:top w:val="nil"/>
              <w:left w:val="nil"/>
            </w:tcBorders>
            <w:shd w:val="clear" w:color="auto" w:fill="auto"/>
            <w:noWrap/>
            <w:vAlign w:val="center"/>
            <w:hideMark/>
          </w:tcPr>
          <w:p w:rsidR="00BB15B7" w:rsidRDefault="00BB15B7" w:rsidP="00BB15B7">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BB15B7" w:rsidRDefault="00BB15B7" w:rsidP="00BB15B7">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BB15B7" w:rsidRDefault="00BB15B7" w:rsidP="00BB15B7">
            <w:pPr>
              <w:jc w:val="right"/>
              <w:rPr>
                <w:b/>
                <w:bCs/>
                <w:sz w:val="14"/>
                <w:szCs w:val="14"/>
              </w:rPr>
            </w:pPr>
            <w:r>
              <w:rPr>
                <w:b/>
                <w:bCs/>
                <w:sz w:val="14"/>
                <w:szCs w:val="14"/>
              </w:rPr>
              <w:t>4,176,915</w:t>
            </w:r>
          </w:p>
        </w:tc>
        <w:tc>
          <w:tcPr>
            <w:tcW w:w="811" w:type="dxa"/>
            <w:tcBorders>
              <w:top w:val="nil"/>
              <w:left w:val="nil"/>
              <w:right w:val="nil"/>
            </w:tcBorders>
            <w:shd w:val="clear" w:color="auto" w:fill="auto"/>
            <w:noWrap/>
            <w:tcMar>
              <w:left w:w="43" w:type="dxa"/>
              <w:right w:w="43" w:type="dxa"/>
            </w:tcMar>
            <w:vAlign w:val="center"/>
          </w:tcPr>
          <w:p w:rsidR="00BB15B7" w:rsidRDefault="00BB15B7" w:rsidP="00BB15B7">
            <w:pPr>
              <w:jc w:val="right"/>
              <w:rPr>
                <w:b/>
                <w:bCs/>
                <w:sz w:val="14"/>
                <w:szCs w:val="14"/>
              </w:rPr>
            </w:pPr>
            <w:r>
              <w:rPr>
                <w:b/>
                <w:bCs/>
                <w:sz w:val="14"/>
                <w:szCs w:val="14"/>
              </w:rPr>
              <w:t>4,644,900</w:t>
            </w:r>
          </w:p>
        </w:tc>
        <w:tc>
          <w:tcPr>
            <w:tcW w:w="741" w:type="dxa"/>
            <w:tcBorders>
              <w:top w:val="nil"/>
              <w:left w:val="nil"/>
              <w:right w:val="nil"/>
            </w:tcBorders>
            <w:shd w:val="clear" w:color="auto" w:fill="auto"/>
            <w:noWrap/>
            <w:tcMar>
              <w:left w:w="43" w:type="dxa"/>
              <w:right w:w="43" w:type="dxa"/>
            </w:tcMar>
            <w:vAlign w:val="center"/>
          </w:tcPr>
          <w:p w:rsidR="00BB15B7" w:rsidRDefault="00BB15B7" w:rsidP="00BB15B7">
            <w:pPr>
              <w:jc w:val="right"/>
              <w:rPr>
                <w:b/>
                <w:bCs/>
                <w:sz w:val="14"/>
                <w:szCs w:val="14"/>
              </w:rPr>
            </w:pPr>
            <w:r>
              <w:rPr>
                <w:b/>
                <w:bCs/>
                <w:sz w:val="14"/>
                <w:szCs w:val="14"/>
              </w:rPr>
              <w:t>5,294,754</w:t>
            </w:r>
          </w:p>
        </w:tc>
        <w:tc>
          <w:tcPr>
            <w:tcW w:w="707" w:type="dxa"/>
            <w:tcBorders>
              <w:top w:val="nil"/>
              <w:left w:val="nil"/>
              <w:right w:val="nil"/>
            </w:tcBorders>
            <w:shd w:val="clear" w:color="auto" w:fill="auto"/>
            <w:noWrap/>
            <w:tcMar>
              <w:left w:w="43" w:type="dxa"/>
              <w:right w:w="43" w:type="dxa"/>
            </w:tcMar>
            <w:vAlign w:val="center"/>
            <w:hideMark/>
          </w:tcPr>
          <w:p w:rsidR="00BB15B7" w:rsidRDefault="00BB15B7" w:rsidP="00BB15B7">
            <w:pPr>
              <w:jc w:val="right"/>
              <w:rPr>
                <w:b/>
                <w:bCs/>
                <w:sz w:val="14"/>
                <w:szCs w:val="14"/>
              </w:rPr>
            </w:pPr>
            <w:r>
              <w:rPr>
                <w:b/>
                <w:bCs/>
                <w:sz w:val="14"/>
                <w:szCs w:val="14"/>
              </w:rPr>
              <w:t>4,643,936</w:t>
            </w:r>
          </w:p>
        </w:tc>
        <w:tc>
          <w:tcPr>
            <w:tcW w:w="769" w:type="dxa"/>
            <w:tcBorders>
              <w:top w:val="nil"/>
              <w:left w:val="nil"/>
              <w:right w:val="nil"/>
            </w:tcBorders>
            <w:shd w:val="clear" w:color="auto" w:fill="auto"/>
            <w:tcMar>
              <w:left w:w="43" w:type="dxa"/>
              <w:right w:w="43" w:type="dxa"/>
            </w:tcMar>
            <w:vAlign w:val="center"/>
          </w:tcPr>
          <w:p w:rsidR="00BB15B7" w:rsidRDefault="00BB15B7" w:rsidP="00BB15B7">
            <w:pPr>
              <w:jc w:val="right"/>
              <w:rPr>
                <w:b/>
                <w:bCs/>
                <w:sz w:val="14"/>
                <w:szCs w:val="14"/>
              </w:rPr>
            </w:pPr>
            <w:r>
              <w:rPr>
                <w:b/>
                <w:bCs/>
                <w:sz w:val="14"/>
                <w:szCs w:val="14"/>
              </w:rPr>
              <w:t>4,869,848</w:t>
            </w:r>
          </w:p>
        </w:tc>
        <w:tc>
          <w:tcPr>
            <w:tcW w:w="851" w:type="dxa"/>
            <w:tcBorders>
              <w:top w:val="nil"/>
              <w:left w:val="nil"/>
              <w:right w:val="nil"/>
            </w:tcBorders>
            <w:shd w:val="clear" w:color="auto" w:fill="auto"/>
            <w:noWrap/>
            <w:tcMar>
              <w:left w:w="43" w:type="dxa"/>
              <w:right w:w="43" w:type="dxa"/>
            </w:tcMar>
            <w:vAlign w:val="center"/>
            <w:hideMark/>
          </w:tcPr>
          <w:p w:rsidR="00BB15B7" w:rsidRDefault="00BB15B7" w:rsidP="00BB15B7">
            <w:pPr>
              <w:jc w:val="right"/>
              <w:rPr>
                <w:b/>
                <w:bCs/>
                <w:sz w:val="14"/>
                <w:szCs w:val="14"/>
              </w:rPr>
            </w:pPr>
            <w:r>
              <w:rPr>
                <w:b/>
                <w:bCs/>
                <w:sz w:val="14"/>
                <w:szCs w:val="14"/>
              </w:rPr>
              <w:t>5,422,038</w:t>
            </w:r>
          </w:p>
        </w:tc>
        <w:tc>
          <w:tcPr>
            <w:tcW w:w="810" w:type="dxa"/>
            <w:tcBorders>
              <w:top w:val="nil"/>
              <w:left w:val="nil"/>
              <w:right w:val="nil"/>
            </w:tcBorders>
            <w:shd w:val="clear" w:color="auto" w:fill="auto"/>
            <w:noWrap/>
            <w:tcMar>
              <w:left w:w="43" w:type="dxa"/>
              <w:right w:w="43" w:type="dxa"/>
            </w:tcMar>
            <w:vAlign w:val="center"/>
          </w:tcPr>
          <w:p w:rsidR="00BB15B7" w:rsidRDefault="00BB15B7" w:rsidP="00BB15B7">
            <w:pPr>
              <w:jc w:val="right"/>
              <w:rPr>
                <w:b/>
                <w:bCs/>
                <w:sz w:val="14"/>
                <w:szCs w:val="14"/>
              </w:rPr>
            </w:pPr>
            <w:r>
              <w:rPr>
                <w:b/>
                <w:bCs/>
                <w:sz w:val="14"/>
                <w:szCs w:val="14"/>
              </w:rPr>
              <w:t>5,294,754</w:t>
            </w:r>
          </w:p>
        </w:tc>
        <w:tc>
          <w:tcPr>
            <w:tcW w:w="810" w:type="dxa"/>
            <w:tcBorders>
              <w:top w:val="nil"/>
              <w:left w:val="nil"/>
              <w:right w:val="nil"/>
            </w:tcBorders>
            <w:shd w:val="clear" w:color="auto" w:fill="auto"/>
            <w:noWrap/>
            <w:tcMar>
              <w:left w:w="43" w:type="dxa"/>
              <w:right w:w="43" w:type="dxa"/>
            </w:tcMar>
            <w:vAlign w:val="center"/>
          </w:tcPr>
          <w:p w:rsidR="00BB15B7" w:rsidRDefault="00BB15B7" w:rsidP="00BB15B7">
            <w:pPr>
              <w:jc w:val="right"/>
              <w:rPr>
                <w:b/>
                <w:bCs/>
                <w:sz w:val="14"/>
                <w:szCs w:val="14"/>
              </w:rPr>
            </w:pPr>
            <w:r>
              <w:rPr>
                <w:b/>
                <w:bCs/>
                <w:sz w:val="14"/>
                <w:szCs w:val="14"/>
              </w:rPr>
              <w:t>5,476,504</w:t>
            </w:r>
          </w:p>
        </w:tc>
        <w:tc>
          <w:tcPr>
            <w:tcW w:w="810" w:type="dxa"/>
            <w:tcBorders>
              <w:top w:val="nil"/>
              <w:left w:val="nil"/>
              <w:right w:val="nil"/>
            </w:tcBorders>
            <w:shd w:val="clear" w:color="auto" w:fill="auto"/>
            <w:noWrap/>
            <w:tcMar>
              <w:left w:w="43" w:type="dxa"/>
              <w:right w:w="43" w:type="dxa"/>
            </w:tcMar>
            <w:vAlign w:val="center"/>
          </w:tcPr>
          <w:p w:rsidR="00BB15B7" w:rsidRDefault="00BB15B7" w:rsidP="00BB15B7">
            <w:pPr>
              <w:jc w:val="right"/>
              <w:rPr>
                <w:b/>
                <w:bCs/>
                <w:sz w:val="14"/>
                <w:szCs w:val="14"/>
              </w:rPr>
            </w:pPr>
            <w:r>
              <w:rPr>
                <w:b/>
                <w:bCs/>
                <w:sz w:val="14"/>
                <w:szCs w:val="14"/>
              </w:rPr>
              <w:t>5,594,642</w:t>
            </w:r>
          </w:p>
        </w:tc>
      </w:tr>
      <w:tr w:rsidR="00BB15B7" w:rsidRPr="009B6E8A" w:rsidTr="00BB15B7">
        <w:trPr>
          <w:trHeight w:hRule="exact" w:val="236"/>
          <w:jc w:val="center"/>
        </w:trPr>
        <w:tc>
          <w:tcPr>
            <w:tcW w:w="236" w:type="dxa"/>
            <w:tcBorders>
              <w:top w:val="nil"/>
              <w:left w:val="nil"/>
            </w:tcBorders>
            <w:shd w:val="clear" w:color="auto" w:fill="auto"/>
            <w:noWrap/>
            <w:vAlign w:val="center"/>
            <w:hideMark/>
          </w:tcPr>
          <w:p w:rsidR="00BB15B7" w:rsidRDefault="00BB15B7" w:rsidP="00BB15B7">
            <w:pPr>
              <w:jc w:val="left"/>
              <w:rPr>
                <w:sz w:val="14"/>
                <w:szCs w:val="14"/>
              </w:rPr>
            </w:pPr>
            <w:r>
              <w:rPr>
                <w:sz w:val="14"/>
                <w:szCs w:val="14"/>
              </w:rPr>
              <w:t>4</w:t>
            </w:r>
          </w:p>
        </w:tc>
        <w:tc>
          <w:tcPr>
            <w:tcW w:w="3105" w:type="dxa"/>
            <w:tcBorders>
              <w:top w:val="nil"/>
              <w:right w:val="nil"/>
            </w:tcBorders>
            <w:shd w:val="clear" w:color="auto" w:fill="auto"/>
            <w:vAlign w:val="center"/>
          </w:tcPr>
          <w:p w:rsidR="00BB15B7" w:rsidRDefault="00BB15B7" w:rsidP="00BB15B7">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BB15B7" w:rsidRDefault="00BB15B7" w:rsidP="00BB15B7">
            <w:pPr>
              <w:jc w:val="right"/>
              <w:rPr>
                <w:sz w:val="14"/>
                <w:szCs w:val="14"/>
              </w:rPr>
            </w:pPr>
            <w:r>
              <w:rPr>
                <w:sz w:val="14"/>
                <w:szCs w:val="14"/>
              </w:rPr>
              <w:t>111</w:t>
            </w:r>
          </w:p>
        </w:tc>
        <w:tc>
          <w:tcPr>
            <w:tcW w:w="811" w:type="dxa"/>
            <w:tcBorders>
              <w:top w:val="nil"/>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192</w:t>
            </w:r>
          </w:p>
        </w:tc>
        <w:tc>
          <w:tcPr>
            <w:tcW w:w="741" w:type="dxa"/>
            <w:tcBorders>
              <w:top w:val="nil"/>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159.748</w:t>
            </w:r>
          </w:p>
        </w:tc>
        <w:tc>
          <w:tcPr>
            <w:tcW w:w="707" w:type="dxa"/>
            <w:tcBorders>
              <w:top w:val="nil"/>
              <w:left w:val="nil"/>
              <w:right w:val="nil"/>
            </w:tcBorders>
            <w:shd w:val="clear" w:color="auto" w:fill="auto"/>
            <w:noWrap/>
            <w:tcMar>
              <w:left w:w="43" w:type="dxa"/>
              <w:right w:w="43" w:type="dxa"/>
            </w:tcMar>
            <w:vAlign w:val="center"/>
            <w:hideMark/>
          </w:tcPr>
          <w:p w:rsidR="00BB15B7" w:rsidRDefault="00BB15B7" w:rsidP="00BB15B7">
            <w:pPr>
              <w:jc w:val="right"/>
              <w:rPr>
                <w:sz w:val="14"/>
                <w:szCs w:val="14"/>
              </w:rPr>
            </w:pPr>
            <w:r>
              <w:rPr>
                <w:sz w:val="14"/>
                <w:szCs w:val="14"/>
              </w:rPr>
              <w:t>115</w:t>
            </w:r>
          </w:p>
        </w:tc>
        <w:tc>
          <w:tcPr>
            <w:tcW w:w="769" w:type="dxa"/>
            <w:tcBorders>
              <w:top w:val="nil"/>
              <w:left w:val="nil"/>
              <w:right w:val="nil"/>
            </w:tcBorders>
            <w:shd w:val="clear" w:color="auto" w:fill="auto"/>
            <w:tcMar>
              <w:left w:w="43" w:type="dxa"/>
              <w:right w:w="43" w:type="dxa"/>
            </w:tcMar>
            <w:vAlign w:val="center"/>
          </w:tcPr>
          <w:p w:rsidR="00BB15B7" w:rsidRDefault="00BB15B7" w:rsidP="00BB15B7">
            <w:pPr>
              <w:jc w:val="right"/>
              <w:rPr>
                <w:sz w:val="14"/>
                <w:szCs w:val="14"/>
              </w:rPr>
            </w:pPr>
            <w:r>
              <w:rPr>
                <w:sz w:val="14"/>
                <w:szCs w:val="14"/>
              </w:rPr>
              <w:t>140</w:t>
            </w:r>
          </w:p>
        </w:tc>
        <w:tc>
          <w:tcPr>
            <w:tcW w:w="851" w:type="dxa"/>
            <w:tcBorders>
              <w:top w:val="nil"/>
              <w:left w:val="nil"/>
              <w:right w:val="nil"/>
            </w:tcBorders>
            <w:shd w:val="clear" w:color="auto" w:fill="auto"/>
            <w:noWrap/>
            <w:tcMar>
              <w:left w:w="43" w:type="dxa"/>
              <w:right w:w="43" w:type="dxa"/>
            </w:tcMar>
            <w:vAlign w:val="center"/>
            <w:hideMark/>
          </w:tcPr>
          <w:p w:rsidR="00BB15B7" w:rsidRDefault="00BB15B7" w:rsidP="00BB15B7">
            <w:pPr>
              <w:jc w:val="right"/>
              <w:rPr>
                <w:sz w:val="14"/>
                <w:szCs w:val="14"/>
              </w:rPr>
            </w:pPr>
            <w:r>
              <w:rPr>
                <w:sz w:val="14"/>
                <w:szCs w:val="14"/>
              </w:rPr>
              <w:t>107</w:t>
            </w:r>
          </w:p>
        </w:tc>
        <w:tc>
          <w:tcPr>
            <w:tcW w:w="810" w:type="dxa"/>
            <w:tcBorders>
              <w:top w:val="nil"/>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159.748</w:t>
            </w:r>
          </w:p>
        </w:tc>
        <w:tc>
          <w:tcPr>
            <w:tcW w:w="810" w:type="dxa"/>
            <w:tcBorders>
              <w:top w:val="nil"/>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135</w:t>
            </w:r>
          </w:p>
        </w:tc>
        <w:tc>
          <w:tcPr>
            <w:tcW w:w="810" w:type="dxa"/>
            <w:tcBorders>
              <w:top w:val="nil"/>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162</w:t>
            </w:r>
          </w:p>
        </w:tc>
      </w:tr>
      <w:tr w:rsidR="00BB15B7" w:rsidRPr="009B6E8A" w:rsidTr="00BB15B7">
        <w:trPr>
          <w:trHeight w:hRule="exact" w:val="236"/>
          <w:jc w:val="center"/>
        </w:trPr>
        <w:tc>
          <w:tcPr>
            <w:tcW w:w="236" w:type="dxa"/>
            <w:tcBorders>
              <w:top w:val="nil"/>
              <w:left w:val="nil"/>
            </w:tcBorders>
            <w:shd w:val="clear" w:color="auto" w:fill="auto"/>
            <w:noWrap/>
            <w:vAlign w:val="center"/>
            <w:hideMark/>
          </w:tcPr>
          <w:p w:rsidR="00BB15B7" w:rsidRDefault="00BB15B7" w:rsidP="00BB15B7">
            <w:pPr>
              <w:jc w:val="left"/>
              <w:rPr>
                <w:sz w:val="14"/>
                <w:szCs w:val="14"/>
              </w:rPr>
            </w:pPr>
            <w:r>
              <w:rPr>
                <w:sz w:val="14"/>
                <w:szCs w:val="14"/>
              </w:rPr>
              <w:t>5</w:t>
            </w:r>
          </w:p>
        </w:tc>
        <w:tc>
          <w:tcPr>
            <w:tcW w:w="3105" w:type="dxa"/>
            <w:tcBorders>
              <w:top w:val="nil"/>
              <w:right w:val="nil"/>
            </w:tcBorders>
            <w:shd w:val="clear" w:color="auto" w:fill="auto"/>
            <w:vAlign w:val="center"/>
          </w:tcPr>
          <w:p w:rsidR="00BB15B7" w:rsidRDefault="00BB15B7" w:rsidP="00BB15B7">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BB15B7" w:rsidRDefault="00BB15B7" w:rsidP="00BB15B7">
            <w:pPr>
              <w:jc w:val="right"/>
              <w:rPr>
                <w:sz w:val="14"/>
                <w:szCs w:val="14"/>
              </w:rPr>
            </w:pPr>
            <w:r>
              <w:rPr>
                <w:sz w:val="14"/>
                <w:szCs w:val="14"/>
              </w:rPr>
              <w:t>862</w:t>
            </w:r>
          </w:p>
        </w:tc>
        <w:tc>
          <w:tcPr>
            <w:tcW w:w="811" w:type="dxa"/>
            <w:tcBorders>
              <w:top w:val="nil"/>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989</w:t>
            </w:r>
          </w:p>
        </w:tc>
        <w:tc>
          <w:tcPr>
            <w:tcW w:w="741" w:type="dxa"/>
            <w:tcBorders>
              <w:top w:val="nil"/>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1039.138</w:t>
            </w:r>
          </w:p>
        </w:tc>
        <w:tc>
          <w:tcPr>
            <w:tcW w:w="707" w:type="dxa"/>
            <w:tcBorders>
              <w:top w:val="nil"/>
              <w:left w:val="nil"/>
              <w:right w:val="nil"/>
            </w:tcBorders>
            <w:shd w:val="clear" w:color="auto" w:fill="auto"/>
            <w:noWrap/>
            <w:tcMar>
              <w:left w:w="43" w:type="dxa"/>
              <w:right w:w="43" w:type="dxa"/>
            </w:tcMar>
            <w:vAlign w:val="center"/>
            <w:hideMark/>
          </w:tcPr>
          <w:p w:rsidR="00BB15B7" w:rsidRDefault="00BB15B7" w:rsidP="00BB15B7">
            <w:pPr>
              <w:jc w:val="right"/>
              <w:rPr>
                <w:sz w:val="14"/>
                <w:szCs w:val="14"/>
              </w:rPr>
            </w:pPr>
            <w:r>
              <w:rPr>
                <w:sz w:val="14"/>
                <w:szCs w:val="14"/>
              </w:rPr>
              <w:t>925</w:t>
            </w:r>
          </w:p>
        </w:tc>
        <w:tc>
          <w:tcPr>
            <w:tcW w:w="769" w:type="dxa"/>
            <w:tcBorders>
              <w:top w:val="nil"/>
              <w:left w:val="nil"/>
              <w:right w:val="nil"/>
            </w:tcBorders>
            <w:shd w:val="clear" w:color="auto" w:fill="auto"/>
            <w:tcMar>
              <w:left w:w="43" w:type="dxa"/>
              <w:right w:w="43" w:type="dxa"/>
            </w:tcMar>
            <w:vAlign w:val="center"/>
          </w:tcPr>
          <w:p w:rsidR="00BB15B7" w:rsidRDefault="00BB15B7" w:rsidP="00BB15B7">
            <w:pPr>
              <w:jc w:val="right"/>
              <w:rPr>
                <w:sz w:val="14"/>
                <w:szCs w:val="14"/>
              </w:rPr>
            </w:pPr>
            <w:r>
              <w:rPr>
                <w:sz w:val="14"/>
                <w:szCs w:val="14"/>
              </w:rPr>
              <w:t>837</w:t>
            </w:r>
          </w:p>
        </w:tc>
        <w:tc>
          <w:tcPr>
            <w:tcW w:w="851" w:type="dxa"/>
            <w:tcBorders>
              <w:top w:val="nil"/>
              <w:left w:val="nil"/>
              <w:right w:val="nil"/>
            </w:tcBorders>
            <w:shd w:val="clear" w:color="auto" w:fill="auto"/>
            <w:noWrap/>
            <w:tcMar>
              <w:left w:w="43" w:type="dxa"/>
              <w:right w:w="43" w:type="dxa"/>
            </w:tcMar>
            <w:vAlign w:val="center"/>
            <w:hideMark/>
          </w:tcPr>
          <w:p w:rsidR="00BB15B7" w:rsidRDefault="00BB15B7" w:rsidP="00BB15B7">
            <w:pPr>
              <w:jc w:val="right"/>
              <w:rPr>
                <w:sz w:val="14"/>
                <w:szCs w:val="14"/>
              </w:rPr>
            </w:pPr>
            <w:r>
              <w:rPr>
                <w:sz w:val="14"/>
                <w:szCs w:val="14"/>
              </w:rPr>
              <w:t>871</w:t>
            </w:r>
          </w:p>
        </w:tc>
        <w:tc>
          <w:tcPr>
            <w:tcW w:w="810" w:type="dxa"/>
            <w:tcBorders>
              <w:top w:val="nil"/>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1039.138</w:t>
            </w:r>
          </w:p>
        </w:tc>
        <w:tc>
          <w:tcPr>
            <w:tcW w:w="810" w:type="dxa"/>
            <w:tcBorders>
              <w:top w:val="nil"/>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989</w:t>
            </w:r>
          </w:p>
        </w:tc>
        <w:tc>
          <w:tcPr>
            <w:tcW w:w="810" w:type="dxa"/>
            <w:tcBorders>
              <w:top w:val="nil"/>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920</w:t>
            </w:r>
          </w:p>
        </w:tc>
      </w:tr>
      <w:tr w:rsidR="00BB15B7" w:rsidRPr="009B6E8A" w:rsidTr="00BB15B7">
        <w:trPr>
          <w:trHeight w:hRule="exact" w:val="236"/>
          <w:jc w:val="center"/>
        </w:trPr>
        <w:tc>
          <w:tcPr>
            <w:tcW w:w="236" w:type="dxa"/>
            <w:tcBorders>
              <w:top w:val="nil"/>
              <w:left w:val="nil"/>
            </w:tcBorders>
            <w:shd w:val="clear" w:color="auto" w:fill="auto"/>
            <w:noWrap/>
            <w:vAlign w:val="center"/>
            <w:hideMark/>
          </w:tcPr>
          <w:p w:rsidR="00BB15B7" w:rsidRPr="00C12EB9" w:rsidRDefault="00BB15B7" w:rsidP="00BB15B7">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BB15B7" w:rsidRDefault="00BB15B7" w:rsidP="00BB15B7">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BB15B7" w:rsidRDefault="00BB15B7" w:rsidP="00BB15B7">
            <w:pPr>
              <w:jc w:val="right"/>
              <w:rPr>
                <w:sz w:val="14"/>
                <w:szCs w:val="14"/>
              </w:rPr>
            </w:pPr>
            <w:r>
              <w:rPr>
                <w:sz w:val="14"/>
                <w:szCs w:val="14"/>
              </w:rPr>
              <w:t>264,627</w:t>
            </w:r>
          </w:p>
        </w:tc>
        <w:tc>
          <w:tcPr>
            <w:tcW w:w="811" w:type="dxa"/>
            <w:tcBorders>
              <w:top w:val="nil"/>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255,891</w:t>
            </w:r>
          </w:p>
        </w:tc>
        <w:tc>
          <w:tcPr>
            <w:tcW w:w="741" w:type="dxa"/>
            <w:tcBorders>
              <w:top w:val="nil"/>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343,516</w:t>
            </w:r>
          </w:p>
        </w:tc>
        <w:tc>
          <w:tcPr>
            <w:tcW w:w="707" w:type="dxa"/>
            <w:tcBorders>
              <w:top w:val="nil"/>
              <w:left w:val="nil"/>
              <w:right w:val="nil"/>
            </w:tcBorders>
            <w:shd w:val="clear" w:color="auto" w:fill="auto"/>
            <w:noWrap/>
            <w:tcMar>
              <w:left w:w="43" w:type="dxa"/>
              <w:right w:w="43" w:type="dxa"/>
            </w:tcMar>
            <w:vAlign w:val="center"/>
            <w:hideMark/>
          </w:tcPr>
          <w:p w:rsidR="00BB15B7" w:rsidRDefault="00BB15B7" w:rsidP="00BB15B7">
            <w:pPr>
              <w:jc w:val="right"/>
              <w:rPr>
                <w:sz w:val="14"/>
                <w:szCs w:val="14"/>
              </w:rPr>
            </w:pPr>
            <w:r>
              <w:rPr>
                <w:sz w:val="14"/>
                <w:szCs w:val="14"/>
              </w:rPr>
              <w:t>229,300</w:t>
            </w:r>
          </w:p>
        </w:tc>
        <w:tc>
          <w:tcPr>
            <w:tcW w:w="769" w:type="dxa"/>
            <w:tcBorders>
              <w:top w:val="nil"/>
              <w:left w:val="nil"/>
              <w:right w:val="nil"/>
            </w:tcBorders>
            <w:shd w:val="clear" w:color="auto" w:fill="auto"/>
            <w:tcMar>
              <w:left w:w="43" w:type="dxa"/>
              <w:right w:w="43" w:type="dxa"/>
            </w:tcMar>
            <w:vAlign w:val="center"/>
          </w:tcPr>
          <w:p w:rsidR="00BB15B7" w:rsidRDefault="00BB15B7" w:rsidP="00BB15B7">
            <w:pPr>
              <w:jc w:val="right"/>
              <w:rPr>
                <w:sz w:val="14"/>
                <w:szCs w:val="14"/>
              </w:rPr>
            </w:pPr>
            <w:r>
              <w:rPr>
                <w:sz w:val="14"/>
                <w:szCs w:val="14"/>
              </w:rPr>
              <w:t>250,269</w:t>
            </w:r>
          </w:p>
        </w:tc>
        <w:tc>
          <w:tcPr>
            <w:tcW w:w="851" w:type="dxa"/>
            <w:tcBorders>
              <w:top w:val="nil"/>
              <w:left w:val="nil"/>
              <w:right w:val="nil"/>
            </w:tcBorders>
            <w:shd w:val="clear" w:color="auto" w:fill="auto"/>
            <w:noWrap/>
            <w:tcMar>
              <w:left w:w="43" w:type="dxa"/>
              <w:right w:w="43" w:type="dxa"/>
            </w:tcMar>
            <w:vAlign w:val="center"/>
            <w:hideMark/>
          </w:tcPr>
          <w:p w:rsidR="00BB15B7" w:rsidRDefault="00BB15B7" w:rsidP="00BB15B7">
            <w:pPr>
              <w:jc w:val="right"/>
              <w:rPr>
                <w:sz w:val="14"/>
                <w:szCs w:val="14"/>
              </w:rPr>
            </w:pPr>
            <w:r>
              <w:rPr>
                <w:sz w:val="14"/>
                <w:szCs w:val="14"/>
              </w:rPr>
              <w:t>389,234</w:t>
            </w:r>
          </w:p>
        </w:tc>
        <w:tc>
          <w:tcPr>
            <w:tcW w:w="810" w:type="dxa"/>
            <w:tcBorders>
              <w:top w:val="nil"/>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343,516</w:t>
            </w:r>
          </w:p>
        </w:tc>
        <w:tc>
          <w:tcPr>
            <w:tcW w:w="810" w:type="dxa"/>
            <w:tcBorders>
              <w:top w:val="nil"/>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279,642</w:t>
            </w:r>
          </w:p>
        </w:tc>
        <w:tc>
          <w:tcPr>
            <w:tcW w:w="810" w:type="dxa"/>
            <w:tcBorders>
              <w:top w:val="nil"/>
              <w:left w:val="nil"/>
              <w:right w:val="nil"/>
            </w:tcBorders>
            <w:shd w:val="clear" w:color="auto" w:fill="auto"/>
            <w:noWrap/>
            <w:tcMar>
              <w:left w:w="43" w:type="dxa"/>
              <w:right w:w="43" w:type="dxa"/>
            </w:tcMar>
            <w:vAlign w:val="center"/>
          </w:tcPr>
          <w:p w:rsidR="00BB15B7" w:rsidRDefault="00BB15B7" w:rsidP="00BB15B7">
            <w:pPr>
              <w:jc w:val="right"/>
              <w:rPr>
                <w:sz w:val="14"/>
                <w:szCs w:val="14"/>
              </w:rPr>
            </w:pPr>
            <w:r>
              <w:rPr>
                <w:sz w:val="14"/>
                <w:szCs w:val="14"/>
              </w:rPr>
              <w:t>296,602</w:t>
            </w:r>
          </w:p>
        </w:tc>
      </w:tr>
      <w:tr w:rsidR="00BB15B7" w:rsidRPr="009B6E8A" w:rsidTr="00BB15B7">
        <w:trPr>
          <w:trHeight w:hRule="exact" w:val="236"/>
          <w:jc w:val="center"/>
        </w:trPr>
        <w:tc>
          <w:tcPr>
            <w:tcW w:w="236" w:type="dxa"/>
            <w:tcBorders>
              <w:top w:val="nil"/>
              <w:left w:val="nil"/>
              <w:bottom w:val="single" w:sz="12" w:space="0" w:color="auto"/>
            </w:tcBorders>
            <w:shd w:val="clear" w:color="auto" w:fill="auto"/>
            <w:noWrap/>
            <w:vAlign w:val="center"/>
            <w:hideMark/>
          </w:tcPr>
          <w:p w:rsidR="00BB15B7" w:rsidRDefault="00BB15B7" w:rsidP="00BB15B7">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BB15B7" w:rsidRDefault="00BB15B7" w:rsidP="00BB15B7">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BB15B7" w:rsidRDefault="00BB15B7" w:rsidP="00BB15B7">
            <w:pPr>
              <w:jc w:val="right"/>
              <w:rPr>
                <w:b/>
                <w:bCs/>
                <w:sz w:val="14"/>
                <w:szCs w:val="14"/>
              </w:rPr>
            </w:pPr>
            <w:r>
              <w:rPr>
                <w:b/>
                <w:bCs/>
                <w:sz w:val="14"/>
                <w:szCs w:val="14"/>
              </w:rPr>
              <w:t>3,911,315</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BB15B7" w:rsidRDefault="00BB15B7" w:rsidP="00BB15B7">
            <w:pPr>
              <w:jc w:val="right"/>
              <w:rPr>
                <w:b/>
                <w:bCs/>
                <w:sz w:val="14"/>
                <w:szCs w:val="14"/>
              </w:rPr>
            </w:pPr>
            <w:r>
              <w:rPr>
                <w:b/>
                <w:bCs/>
                <w:sz w:val="14"/>
                <w:szCs w:val="14"/>
              </w:rPr>
              <w:t>4,387,828</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BB15B7" w:rsidRDefault="00BB15B7" w:rsidP="00BB15B7">
            <w:pPr>
              <w:jc w:val="right"/>
              <w:rPr>
                <w:b/>
                <w:bCs/>
                <w:sz w:val="14"/>
                <w:szCs w:val="14"/>
              </w:rPr>
            </w:pPr>
            <w:r>
              <w:rPr>
                <w:b/>
                <w:bCs/>
                <w:sz w:val="14"/>
                <w:szCs w:val="14"/>
              </w:rPr>
              <w:t>4,950,039</w:t>
            </w:r>
          </w:p>
        </w:tc>
        <w:tc>
          <w:tcPr>
            <w:tcW w:w="707" w:type="dxa"/>
            <w:tcBorders>
              <w:top w:val="nil"/>
              <w:left w:val="nil"/>
              <w:bottom w:val="single" w:sz="12" w:space="0" w:color="auto"/>
              <w:right w:val="nil"/>
            </w:tcBorders>
            <w:shd w:val="clear" w:color="auto" w:fill="auto"/>
            <w:noWrap/>
            <w:tcMar>
              <w:left w:w="43" w:type="dxa"/>
              <w:right w:w="43" w:type="dxa"/>
            </w:tcMar>
            <w:vAlign w:val="center"/>
            <w:hideMark/>
          </w:tcPr>
          <w:p w:rsidR="00BB15B7" w:rsidRDefault="00BB15B7" w:rsidP="00BB15B7">
            <w:pPr>
              <w:jc w:val="right"/>
              <w:rPr>
                <w:b/>
                <w:bCs/>
                <w:sz w:val="14"/>
                <w:szCs w:val="14"/>
              </w:rPr>
            </w:pPr>
            <w:r>
              <w:rPr>
                <w:b/>
                <w:bCs/>
                <w:sz w:val="14"/>
                <w:szCs w:val="14"/>
              </w:rPr>
              <w:t>4,413,596</w:t>
            </w:r>
          </w:p>
        </w:tc>
        <w:tc>
          <w:tcPr>
            <w:tcW w:w="769" w:type="dxa"/>
            <w:tcBorders>
              <w:top w:val="nil"/>
              <w:left w:val="nil"/>
              <w:bottom w:val="single" w:sz="12" w:space="0" w:color="auto"/>
              <w:right w:val="nil"/>
            </w:tcBorders>
            <w:shd w:val="clear" w:color="auto" w:fill="auto"/>
            <w:tcMar>
              <w:left w:w="43" w:type="dxa"/>
              <w:right w:w="43" w:type="dxa"/>
            </w:tcMar>
            <w:vAlign w:val="center"/>
          </w:tcPr>
          <w:p w:rsidR="00BB15B7" w:rsidRDefault="00BB15B7" w:rsidP="00BB15B7">
            <w:pPr>
              <w:jc w:val="right"/>
              <w:rPr>
                <w:b/>
                <w:bCs/>
                <w:sz w:val="14"/>
                <w:szCs w:val="14"/>
              </w:rPr>
            </w:pPr>
            <w:r>
              <w:rPr>
                <w:b/>
                <w:bCs/>
                <w:sz w:val="14"/>
                <w:szCs w:val="14"/>
              </w:rPr>
              <w:t>4,618,601</w:t>
            </w:r>
          </w:p>
        </w:tc>
        <w:tc>
          <w:tcPr>
            <w:tcW w:w="851" w:type="dxa"/>
            <w:tcBorders>
              <w:top w:val="nil"/>
              <w:left w:val="nil"/>
              <w:bottom w:val="single" w:sz="12" w:space="0" w:color="auto"/>
              <w:right w:val="nil"/>
            </w:tcBorders>
            <w:shd w:val="clear" w:color="auto" w:fill="auto"/>
            <w:noWrap/>
            <w:tcMar>
              <w:left w:w="43" w:type="dxa"/>
              <w:right w:w="43" w:type="dxa"/>
            </w:tcMar>
            <w:vAlign w:val="center"/>
            <w:hideMark/>
          </w:tcPr>
          <w:p w:rsidR="00BB15B7" w:rsidRDefault="00BB15B7" w:rsidP="00BB15B7">
            <w:pPr>
              <w:jc w:val="right"/>
              <w:rPr>
                <w:b/>
                <w:bCs/>
                <w:sz w:val="14"/>
                <w:szCs w:val="14"/>
              </w:rPr>
            </w:pPr>
            <w:r>
              <w:rPr>
                <w:b/>
                <w:bCs/>
                <w:sz w:val="14"/>
                <w:szCs w:val="14"/>
              </w:rPr>
              <w:t>5,031,826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BB15B7" w:rsidRDefault="00BB15B7" w:rsidP="00BB15B7">
            <w:pPr>
              <w:jc w:val="right"/>
              <w:rPr>
                <w:b/>
                <w:bCs/>
                <w:sz w:val="14"/>
                <w:szCs w:val="14"/>
              </w:rPr>
            </w:pPr>
            <w:r>
              <w:rPr>
                <w:b/>
                <w:bCs/>
                <w:sz w:val="14"/>
                <w:szCs w:val="14"/>
              </w:rPr>
              <w:t>4,950,039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BB15B7" w:rsidRDefault="00BB15B7" w:rsidP="00BB15B7">
            <w:pPr>
              <w:jc w:val="right"/>
              <w:rPr>
                <w:b/>
                <w:bCs/>
                <w:sz w:val="14"/>
                <w:szCs w:val="14"/>
              </w:rPr>
            </w:pPr>
            <w:r>
              <w:rPr>
                <w:b/>
                <w:bCs/>
                <w:sz w:val="14"/>
                <w:szCs w:val="14"/>
              </w:rPr>
              <w:t>5,195,738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BB15B7" w:rsidRDefault="00BB15B7" w:rsidP="00BB15B7">
            <w:pPr>
              <w:jc w:val="right"/>
              <w:rPr>
                <w:b/>
                <w:bCs/>
                <w:sz w:val="14"/>
                <w:szCs w:val="14"/>
              </w:rPr>
            </w:pPr>
            <w:r>
              <w:rPr>
                <w:b/>
                <w:bCs/>
                <w:sz w:val="14"/>
                <w:szCs w:val="14"/>
              </w:rPr>
              <w:t>5,296,959</w:t>
            </w:r>
          </w:p>
        </w:tc>
      </w:tr>
      <w:tr w:rsidR="00BB15B7" w:rsidRPr="009B6E8A" w:rsidTr="00916320">
        <w:trPr>
          <w:trHeight w:val="852"/>
          <w:jc w:val="center"/>
        </w:trPr>
        <w:tc>
          <w:tcPr>
            <w:tcW w:w="10497" w:type="dxa"/>
            <w:gridSpan w:val="11"/>
            <w:tcBorders>
              <w:top w:val="nil"/>
              <w:left w:val="nil"/>
              <w:right w:val="nil"/>
            </w:tcBorders>
            <w:shd w:val="clear" w:color="auto" w:fill="auto"/>
            <w:noWrap/>
            <w:hideMark/>
          </w:tcPr>
          <w:p w:rsidR="00BB15B7" w:rsidRPr="00916320" w:rsidRDefault="00BB15B7" w:rsidP="00BB15B7">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BB15B7" w:rsidRPr="00916320" w:rsidRDefault="00BB15B7" w:rsidP="00BB15B7">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BB15B7" w:rsidRPr="00916320" w:rsidRDefault="00BB15B7" w:rsidP="00BB15B7">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BB15B7" w:rsidRPr="006F5B38" w:rsidRDefault="00BB15B7" w:rsidP="00BB15B7">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6"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810"/>
        <w:gridCol w:w="720"/>
        <w:gridCol w:w="720"/>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926865" w:rsidRPr="00247299" w:rsidTr="00BB085A">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926865" w:rsidRPr="00247299" w:rsidRDefault="00926865" w:rsidP="007B4774">
            <w:pPr>
              <w:rPr>
                <w:b/>
                <w:bCs/>
                <w:color w:val="auto"/>
                <w:sz w:val="14"/>
                <w:szCs w:val="14"/>
              </w:rPr>
            </w:pPr>
          </w:p>
          <w:p w:rsidR="00926865" w:rsidRPr="00247299" w:rsidRDefault="00926865"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926865" w:rsidRPr="00AE17B5" w:rsidRDefault="00926865"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926865" w:rsidRPr="00AE17B5" w:rsidRDefault="00926865" w:rsidP="00E6261A">
            <w:pPr>
              <w:rPr>
                <w:b/>
                <w:bCs/>
                <w:color w:val="auto"/>
                <w:szCs w:val="16"/>
              </w:rPr>
            </w:pPr>
            <w:r>
              <w:rPr>
                <w:b/>
                <w:bCs/>
                <w:color w:val="auto"/>
                <w:szCs w:val="16"/>
              </w:rPr>
              <w:t>2018</w:t>
            </w:r>
          </w:p>
        </w:tc>
        <w:tc>
          <w:tcPr>
            <w:tcW w:w="2904" w:type="dxa"/>
            <w:gridSpan w:val="4"/>
            <w:tcBorders>
              <w:top w:val="single" w:sz="12" w:space="0" w:color="auto"/>
              <w:left w:val="single" w:sz="4" w:space="0" w:color="auto"/>
              <w:bottom w:val="single" w:sz="4" w:space="0" w:color="auto"/>
              <w:right w:val="nil"/>
            </w:tcBorders>
            <w:shd w:val="clear" w:color="auto" w:fill="auto"/>
            <w:vAlign w:val="center"/>
          </w:tcPr>
          <w:p w:rsidR="00926865" w:rsidRPr="00AE17B5" w:rsidRDefault="00926865" w:rsidP="00E6261A">
            <w:pPr>
              <w:rPr>
                <w:b/>
                <w:bCs/>
                <w:color w:val="auto"/>
                <w:szCs w:val="16"/>
              </w:rPr>
            </w:pPr>
            <w:r>
              <w:rPr>
                <w:b/>
                <w:bCs/>
                <w:color w:val="auto"/>
                <w:szCs w:val="16"/>
              </w:rPr>
              <w:t>2019</w:t>
            </w:r>
          </w:p>
        </w:tc>
      </w:tr>
      <w:tr w:rsidR="00802D2F" w:rsidRPr="00247299" w:rsidTr="00AB7A08">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802D2F" w:rsidRPr="00247299" w:rsidRDefault="00802D2F" w:rsidP="00802D2F">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02D2F" w:rsidRPr="006619BF" w:rsidRDefault="00802D2F" w:rsidP="00802D2F">
            <w:pPr>
              <w:jc w:val="right"/>
              <w:rPr>
                <w:b/>
                <w:bCs/>
                <w:color w:val="auto"/>
                <w:sz w:val="14"/>
                <w:szCs w:val="14"/>
              </w:rPr>
            </w:pPr>
            <w:r w:rsidRPr="006619BF">
              <w:rPr>
                <w:b/>
                <w:bCs/>
                <w:color w:val="auto"/>
                <w:sz w:val="14"/>
                <w:szCs w:val="14"/>
              </w:rPr>
              <w:t>FY17</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02D2F" w:rsidRPr="006619BF" w:rsidRDefault="00802D2F" w:rsidP="00802D2F">
            <w:pPr>
              <w:jc w:val="right"/>
              <w:rPr>
                <w:b/>
                <w:bCs/>
                <w:color w:val="auto"/>
                <w:sz w:val="14"/>
                <w:szCs w:val="14"/>
              </w:rPr>
            </w:pPr>
            <w:r>
              <w:rPr>
                <w:b/>
                <w:bCs/>
                <w:color w:val="auto"/>
                <w:sz w:val="14"/>
                <w:szCs w:val="14"/>
              </w:rPr>
              <w:t>FY18</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02D2F" w:rsidRPr="006619BF" w:rsidRDefault="00802D2F" w:rsidP="00960F16">
            <w:pPr>
              <w:jc w:val="right"/>
              <w:rPr>
                <w:b/>
                <w:bCs/>
                <w:color w:val="auto"/>
                <w:sz w:val="14"/>
                <w:szCs w:val="14"/>
              </w:rPr>
            </w:pPr>
            <w:r>
              <w:rPr>
                <w:b/>
                <w:bCs/>
                <w:color w:val="auto"/>
                <w:sz w:val="14"/>
                <w:szCs w:val="14"/>
              </w:rPr>
              <w:t>FY19</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02D2F" w:rsidRPr="006619BF" w:rsidRDefault="00802D2F" w:rsidP="00802D2F">
            <w:pPr>
              <w:jc w:val="right"/>
              <w:rPr>
                <w:b/>
                <w:color w:val="auto"/>
                <w:sz w:val="14"/>
                <w:szCs w:val="14"/>
              </w:rPr>
            </w:pPr>
            <w:r>
              <w:rPr>
                <w:b/>
                <w:color w:val="auto"/>
                <w:sz w:val="14"/>
                <w:szCs w:val="14"/>
              </w:rPr>
              <w:t>Jul</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02D2F" w:rsidRPr="006619BF" w:rsidRDefault="0059619B" w:rsidP="00802D2F">
            <w:pPr>
              <w:jc w:val="right"/>
              <w:rPr>
                <w:b/>
                <w:color w:val="auto"/>
                <w:sz w:val="14"/>
                <w:szCs w:val="14"/>
              </w:rPr>
            </w:pPr>
            <w:r>
              <w:rPr>
                <w:b/>
                <w:color w:val="auto"/>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02D2F" w:rsidRPr="006619BF" w:rsidRDefault="00802D2F" w:rsidP="00802D2F">
            <w:pPr>
              <w:jc w:val="right"/>
              <w:rPr>
                <w:b/>
                <w:color w:val="auto"/>
                <w:sz w:val="14"/>
                <w:szCs w:val="14"/>
              </w:rPr>
            </w:pPr>
            <w:r>
              <w:rPr>
                <w:b/>
                <w:color w:val="auto"/>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802D2F" w:rsidRPr="006619BF" w:rsidRDefault="00802D2F" w:rsidP="0059619B">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802D2F" w:rsidRPr="006619BF" w:rsidRDefault="00802D2F" w:rsidP="0059619B">
            <w:pPr>
              <w:jc w:val="right"/>
              <w:rPr>
                <w:b/>
                <w:color w:val="auto"/>
                <w:sz w:val="14"/>
                <w:szCs w:val="14"/>
              </w:rPr>
            </w:pPr>
            <w:r>
              <w:rPr>
                <w:b/>
                <w:color w:val="auto"/>
                <w:sz w:val="14"/>
                <w:szCs w:val="14"/>
              </w:rPr>
              <w:t>Jul</w:t>
            </w:r>
            <w:r w:rsidR="0059619B">
              <w:rPr>
                <w:b/>
                <w:color w:val="auto"/>
                <w:sz w:val="14"/>
                <w:szCs w:val="14"/>
              </w:rPr>
              <w:t xml:space="preserve"> </w:t>
            </w:r>
            <w:r w:rsidR="0059619B" w:rsidRPr="00B3471D">
              <w:rPr>
                <w:b/>
                <w:color w:val="auto"/>
                <w:sz w:val="14"/>
                <w:szCs w:val="14"/>
                <w:vertAlign w:val="superscript"/>
              </w:rPr>
              <w:t>R</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802D2F" w:rsidRPr="006619BF" w:rsidRDefault="0059619B" w:rsidP="00802D2F">
            <w:pPr>
              <w:jc w:val="right"/>
              <w:rPr>
                <w:b/>
                <w:color w:val="auto"/>
                <w:sz w:val="14"/>
                <w:szCs w:val="14"/>
              </w:rPr>
            </w:pPr>
            <w:r>
              <w:rPr>
                <w:b/>
                <w:color w:val="auto"/>
                <w:sz w:val="14"/>
                <w:szCs w:val="14"/>
              </w:rPr>
              <w:t xml:space="preserve">Aug </w:t>
            </w:r>
            <w:r w:rsidRPr="00A250BE">
              <w:rPr>
                <w:b/>
                <w:color w:val="auto"/>
                <w:sz w:val="14"/>
                <w:szCs w:val="14"/>
                <w:vertAlign w:val="superscript"/>
              </w:rPr>
              <w:t>P</w:t>
            </w:r>
          </w:p>
        </w:tc>
      </w:tr>
      <w:tr w:rsidR="00802D2F" w:rsidRPr="00247299" w:rsidTr="00AB7A08">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802D2F" w:rsidRPr="00AC5C7D" w:rsidRDefault="00802D2F" w:rsidP="00802D2F">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802D2F" w:rsidRPr="00247299" w:rsidRDefault="00802D2F" w:rsidP="00802D2F">
            <w:pPr>
              <w:jc w:val="right"/>
              <w:rPr>
                <w:b/>
                <w:bCs/>
                <w:color w:val="auto"/>
                <w:sz w:val="13"/>
                <w:szCs w:val="13"/>
              </w:rPr>
            </w:pPr>
          </w:p>
        </w:tc>
        <w:tc>
          <w:tcPr>
            <w:tcW w:w="769" w:type="dxa"/>
            <w:tcBorders>
              <w:top w:val="nil"/>
              <w:left w:val="nil"/>
              <w:bottom w:val="nil"/>
              <w:right w:val="nil"/>
            </w:tcBorders>
            <w:shd w:val="clear" w:color="auto" w:fill="auto"/>
            <w:tcMar>
              <w:left w:w="43" w:type="dxa"/>
              <w:right w:w="43" w:type="dxa"/>
            </w:tcMar>
            <w:vAlign w:val="center"/>
          </w:tcPr>
          <w:p w:rsidR="00802D2F" w:rsidRPr="00247299" w:rsidRDefault="00802D2F" w:rsidP="00802D2F">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802D2F" w:rsidRPr="00247299" w:rsidRDefault="00802D2F" w:rsidP="00802D2F">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802D2F" w:rsidRPr="00247299" w:rsidRDefault="00802D2F" w:rsidP="00802D2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02D2F" w:rsidRPr="00247299" w:rsidRDefault="00802D2F" w:rsidP="00802D2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802D2F" w:rsidRPr="00247299" w:rsidRDefault="00802D2F" w:rsidP="00802D2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02D2F" w:rsidRPr="00247299" w:rsidRDefault="00802D2F" w:rsidP="00802D2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02D2F" w:rsidRPr="00247299" w:rsidRDefault="00802D2F" w:rsidP="00802D2F">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802D2F" w:rsidRPr="00247299" w:rsidRDefault="00802D2F" w:rsidP="00802D2F">
            <w:pPr>
              <w:jc w:val="right"/>
              <w:rPr>
                <w:rFonts w:ascii="Calibri" w:hAnsi="Calibri"/>
                <w:sz w:val="22"/>
                <w:szCs w:val="22"/>
              </w:rPr>
            </w:pP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3,911,315</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4,387,828</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4,950,039</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4,413,596</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4,618,601</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5,031,826</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4,950,039</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5,195,738</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5,296,959</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22,692</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26,962</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33,636</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27,738</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28,205</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33,777</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33,636</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34,027</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33,913</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10,646,875</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11,582,372</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12,814,820</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11,184,943</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11,280,992</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12,036,907</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12,814,820</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12,225,500</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12,336,781</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i/>
                <w:iCs/>
                <w:sz w:val="14"/>
                <w:szCs w:val="14"/>
              </w:rPr>
            </w:pPr>
            <w:r>
              <w:rPr>
                <w:i/>
                <w:iCs/>
                <w:sz w:val="14"/>
                <w:szCs w:val="14"/>
              </w:rPr>
              <w:t>655,340</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i/>
                <w:iCs/>
                <w:sz w:val="14"/>
                <w:szCs w:val="14"/>
              </w:rPr>
            </w:pPr>
            <w:r>
              <w:rPr>
                <w:i/>
                <w:iCs/>
                <w:sz w:val="14"/>
                <w:szCs w:val="14"/>
              </w:rPr>
              <w:t>829,355</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i/>
                <w:iCs/>
                <w:sz w:val="14"/>
                <w:szCs w:val="14"/>
              </w:rPr>
            </w:pPr>
            <w:r>
              <w:rPr>
                <w:i/>
                <w:iCs/>
                <w:sz w:val="14"/>
                <w:szCs w:val="14"/>
              </w:rPr>
              <w:t>1,109,780</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i/>
                <w:iCs/>
                <w:sz w:val="14"/>
                <w:szCs w:val="14"/>
              </w:rPr>
            </w:pPr>
            <w:r>
              <w:rPr>
                <w:i/>
                <w:iCs/>
                <w:sz w:val="14"/>
                <w:szCs w:val="14"/>
              </w:rPr>
              <w:t>842,337</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i/>
                <w:iCs/>
                <w:sz w:val="14"/>
                <w:szCs w:val="14"/>
              </w:rPr>
            </w:pPr>
            <w:r>
              <w:rPr>
                <w:i/>
                <w:iCs/>
                <w:sz w:val="14"/>
                <w:szCs w:val="14"/>
              </w:rPr>
              <w:t>828,721</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i/>
                <w:iCs/>
                <w:sz w:val="14"/>
                <w:szCs w:val="14"/>
              </w:rPr>
            </w:pPr>
            <w:r>
              <w:rPr>
                <w:i/>
                <w:iCs/>
                <w:sz w:val="14"/>
                <w:szCs w:val="14"/>
              </w:rPr>
              <w:t>994,172</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i/>
                <w:iCs/>
                <w:sz w:val="14"/>
                <w:szCs w:val="14"/>
              </w:rPr>
            </w:pPr>
            <w:r>
              <w:rPr>
                <w:i/>
                <w:iCs/>
                <w:sz w:val="14"/>
                <w:szCs w:val="14"/>
              </w:rPr>
              <w:t>1,109,780</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i/>
                <w:iCs/>
                <w:sz w:val="14"/>
                <w:szCs w:val="14"/>
              </w:rPr>
            </w:pPr>
            <w:r>
              <w:rPr>
                <w:i/>
                <w:iCs/>
                <w:sz w:val="14"/>
                <w:szCs w:val="14"/>
              </w:rPr>
              <w:t>1,103,986</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i/>
                <w:iCs/>
                <w:sz w:val="14"/>
                <w:szCs w:val="14"/>
              </w:rPr>
            </w:pPr>
            <w:r>
              <w:rPr>
                <w:i/>
                <w:iCs/>
                <w:sz w:val="14"/>
                <w:szCs w:val="14"/>
              </w:rPr>
              <w:t>1,074,597</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14,580,882</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15,997,162</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17,798,494</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15,626,277</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15,927,798</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17,102,511</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17,798,494</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17,455,265</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b/>
                <w:bCs/>
                <w:sz w:val="14"/>
                <w:szCs w:val="14"/>
              </w:rPr>
            </w:pPr>
            <w:r>
              <w:rPr>
                <w:b/>
                <w:bCs/>
                <w:sz w:val="14"/>
                <w:szCs w:val="14"/>
              </w:rPr>
              <w:t>17,667,652</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20"/>
              </w:rPr>
            </w:pP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20"/>
              </w:rPr>
            </w:pP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20"/>
              </w:rPr>
            </w:pP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602,049</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(208,423)</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(1,507,091)</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(112,799)</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(172,010)</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(1,260,303)</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(1,507,091)</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(1,400,684)</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b/>
                <w:bCs/>
                <w:sz w:val="14"/>
                <w:szCs w:val="14"/>
              </w:rPr>
            </w:pPr>
            <w:r>
              <w:rPr>
                <w:b/>
                <w:bCs/>
                <w:sz w:val="14"/>
                <w:szCs w:val="14"/>
              </w:rPr>
              <w:t>(1,228,116)</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828,923</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12,453</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(1,127,212)</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147,025</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78,241</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(895,922)</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(1,127,212)</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(1,017,752)</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(898,552)</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(226,873)</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(220,877)</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(379,879)</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(259,824)</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(250,251)</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(364,381)</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(379,879)</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(382,933)</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(329,564)</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13,978,833</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16,205,586</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19,305,585</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15,739,076</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16,099,808</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18,362,814</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19,305,585</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18,855,949</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b/>
                <w:bCs/>
                <w:sz w:val="14"/>
                <w:szCs w:val="14"/>
              </w:rPr>
            </w:pPr>
            <w:r>
              <w:rPr>
                <w:b/>
                <w:bCs/>
                <w:sz w:val="14"/>
                <w:szCs w:val="14"/>
              </w:rPr>
              <w:t>18,895,768</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3,538,889</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4,902,311</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7,017,962</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4,719,108</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5,136,091</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6,542,420</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7,017,962</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6,691,060</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6,818,032</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10,439,944</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11,303,275</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12,287,623</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11,019,968</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10,963,717</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11,820,394</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12,287,623</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12,164,889</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12,077,736</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numPr>
                <w:ilvl w:val="0"/>
                <w:numId w:val="4"/>
              </w:numPr>
              <w:ind w:left="252" w:hanging="252"/>
              <w:jc w:val="left"/>
              <w:rPr>
                <w:b/>
                <w:bCs/>
                <w:sz w:val="14"/>
                <w:szCs w:val="14"/>
              </w:rPr>
            </w:pPr>
            <w:r>
              <w:rPr>
                <w:b/>
                <w:bCs/>
                <w:sz w:val="14"/>
                <w:szCs w:val="14"/>
              </w:rPr>
              <w:t>Net Gov</w:t>
            </w:r>
            <w:r w:rsidRPr="00AC5C7D">
              <w:rPr>
                <w:b/>
                <w:bCs/>
                <w:sz w:val="14"/>
                <w:szCs w:val="14"/>
              </w:rPr>
              <w:t>t Sector Borrowing(a+b+c)</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8,955,597</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10,199,670</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12,337,550</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9,882,274</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10,100,024</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11,639,710</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12,337,550</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12,255,097</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b/>
                <w:bCs/>
                <w:sz w:val="14"/>
                <w:szCs w:val="14"/>
              </w:rPr>
            </w:pPr>
            <w:r>
              <w:rPr>
                <w:b/>
                <w:bCs/>
                <w:sz w:val="14"/>
                <w:szCs w:val="14"/>
              </w:rPr>
              <w:t>12,386,212</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8,282,074</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9,392,960</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11,597,353</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9,075,761</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9,305,090</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10,895,071</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11,597,353</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11,523,518</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b/>
                <w:bCs/>
                <w:sz w:val="14"/>
                <w:szCs w:val="14"/>
              </w:rPr>
            </w:pPr>
            <w:r>
              <w:rPr>
                <w:b/>
                <w:bCs/>
                <w:sz w:val="14"/>
                <w:szCs w:val="14"/>
              </w:rPr>
              <w:t>11,658,857</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jc w:val="left"/>
              <w:rPr>
                <w:sz w:val="14"/>
                <w:szCs w:val="14"/>
              </w:rPr>
            </w:pPr>
            <w:r w:rsidRPr="00AC5C7D">
              <w:rPr>
                <w:sz w:val="14"/>
                <w:szCs w:val="14"/>
              </w:rPr>
              <w:t xml:space="preserve">       (i) From SBP </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2,350,109</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3,613,406</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6,692,756</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3,668,704</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4,708,614</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6,194,713</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6,692,756</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5,407,427</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6,262,318</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2,440,624</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3,667,619</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6,834,161</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3,829,601</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4,946,562</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6,453,541</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6,834,161</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5,643,979</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6,583,310</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(91,238)</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(40,546)</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(967,305)</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(1,822,254)</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(38,087)</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(821,625)</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(967,305)</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(2,230,570)</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(1,388,612)</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(88,555)</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(43,840)</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(127,135)</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(145,504)</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(219,844)</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(226,707)</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(127,135)</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(215,816)</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(295,658)</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jc w:val="left"/>
              <w:rPr>
                <w:sz w:val="14"/>
                <w:szCs w:val="14"/>
              </w:rPr>
            </w:pPr>
            <w:r w:rsidRPr="00AC5C7D">
              <w:rPr>
                <w:sz w:val="14"/>
                <w:szCs w:val="14"/>
              </w:rPr>
              <w:t xml:space="preserve">                    Balochistan Government</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(1,460)</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(5,329)</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(19,072)</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(9,300)</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(18,716)</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(36,336)</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(19,072)</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(21,240)</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(38,776)</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(30,245)</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(23,945)</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(16,983)</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(43,343)</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(54,647)</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(37,336)</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(16,983)</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(30,164)</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(48,343)</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(38,146)</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(5,114)</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(70,339)</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(69,779)</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(96,704)</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(121,768)</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(70,339)</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(123,955)</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(161,654)</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(18,704)</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(9,453)</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(20,741)</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(23,081)</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(49,777)</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(31,266)</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(20,741)</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(40,457)</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(46,885)</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7,279</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5,515</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(97)</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2,361</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833</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(10,450)</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(97)</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(4,883)</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(8,314)</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jc w:val="left"/>
              <w:rPr>
                <w:sz w:val="14"/>
                <w:szCs w:val="14"/>
              </w:rPr>
            </w:pPr>
            <w:r w:rsidRPr="00AC5C7D">
              <w:rPr>
                <w:sz w:val="14"/>
                <w:szCs w:val="14"/>
              </w:rPr>
              <w:t xml:space="preserve">          d) Gilgit-Baltistan</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(9,239)</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(15,888)</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(14,174)</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(17,754)</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(18,937)</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(21,671)</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(14,174)</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(15,853)</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(17,020)</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jc w:val="left"/>
              <w:rPr>
                <w:sz w:val="14"/>
                <w:szCs w:val="14"/>
              </w:rPr>
            </w:pPr>
            <w:r w:rsidRPr="00AC5C7D">
              <w:rPr>
                <w:sz w:val="14"/>
                <w:szCs w:val="14"/>
              </w:rPr>
              <w:t xml:space="preserve">       (ii) From Scheduled banks (a+b)</w:t>
            </w:r>
          </w:p>
        </w:tc>
        <w:tc>
          <w:tcPr>
            <w:tcW w:w="777" w:type="dxa"/>
            <w:tcBorders>
              <w:top w:val="nil"/>
              <w:left w:val="nil"/>
              <w:bottom w:val="nil"/>
              <w:right w:val="nil"/>
            </w:tcBorders>
            <w:shd w:val="clear" w:color="auto" w:fill="auto"/>
            <w:noWrap/>
            <w:tcMar>
              <w:left w:w="29" w:type="dxa"/>
              <w:right w:w="29" w:type="dxa"/>
            </w:tcMar>
            <w:vAlign w:val="center"/>
            <w:hideMark/>
          </w:tcPr>
          <w:p w:rsidR="0059619B" w:rsidRDefault="0059619B" w:rsidP="0059619B">
            <w:pPr>
              <w:jc w:val="right"/>
              <w:rPr>
                <w:sz w:val="14"/>
                <w:szCs w:val="14"/>
              </w:rPr>
            </w:pPr>
            <w:r>
              <w:rPr>
                <w:sz w:val="14"/>
                <w:szCs w:val="14"/>
              </w:rPr>
              <w:t>5,931,965</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5,779,554</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4,904,598</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5,407,056</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4,596,476</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4,700,359</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4,904,598</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6,116,090</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5,396,539</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6,631,399</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6,523,418</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5,753,677</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6,160,344</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5,320,470</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5,541,327</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5,753,677</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6,928,041</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6,210,323</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59619B" w:rsidRDefault="0059619B" w:rsidP="0059619B">
            <w:pPr>
              <w:jc w:val="right"/>
              <w:rPr>
                <w:sz w:val="14"/>
                <w:szCs w:val="14"/>
              </w:rPr>
            </w:pPr>
            <w:r>
              <w:rPr>
                <w:sz w:val="14"/>
                <w:szCs w:val="14"/>
              </w:rPr>
              <w:t>(883,796)</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(1,083,755)</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(1,228,344)</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(1,063,474)</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(1,036,727)</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(1,103,874)</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(1,228,344)</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(1,182,644)</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(1,184,392)</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(699,434)</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(743,864)</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(849,079)</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(753,287)</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(723,994)</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(840,969)</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(849,079)</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(811,951)</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(813,785)</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(700,458)</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(744,888)</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(850,103)</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(754,312)</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(725,018)</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(841,993)</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(850,103)</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(812,975)</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(814,809)</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686,508</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819,680</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756,416</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820,146</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808,208</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759,511</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756,416</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748,134</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b/>
                <w:bCs/>
                <w:sz w:val="14"/>
                <w:szCs w:val="14"/>
              </w:rPr>
            </w:pPr>
            <w:r>
              <w:rPr>
                <w:b/>
                <w:bCs/>
                <w:sz w:val="14"/>
                <w:szCs w:val="14"/>
              </w:rPr>
              <w:t>744,570</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(12,985)</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(12,971)</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(16,220)</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(13,633)</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(13,273)</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(14,873)</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(16,220)</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(16,554)</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b/>
                <w:bCs/>
                <w:sz w:val="14"/>
                <w:szCs w:val="14"/>
              </w:rPr>
            </w:pPr>
            <w:r>
              <w:rPr>
                <w:b/>
                <w:bCs/>
                <w:sz w:val="14"/>
                <w:szCs w:val="14"/>
              </w:rPr>
              <w:t>(17,216)</w:t>
            </w:r>
          </w:p>
        </w:tc>
      </w:tr>
      <w:tr w:rsidR="0059619B"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59619B" w:rsidRPr="00AC5C7D" w:rsidRDefault="0059619B" w:rsidP="0059619B">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(a+b+c+d)</w:t>
            </w:r>
          </w:p>
        </w:tc>
        <w:tc>
          <w:tcPr>
            <w:tcW w:w="777" w:type="dxa"/>
            <w:tcBorders>
              <w:top w:val="nil"/>
              <w:left w:val="nil"/>
              <w:bottom w:val="nil"/>
              <w:right w:val="nil"/>
            </w:tcBorders>
            <w:shd w:val="clear" w:color="auto" w:fill="auto"/>
            <w:noWrap/>
            <w:tcMar>
              <w:left w:w="29" w:type="dxa"/>
              <w:right w:w="29" w:type="dxa"/>
            </w:tcMar>
            <w:vAlign w:val="center"/>
            <w:hideMark/>
          </w:tcPr>
          <w:p w:rsidR="0059619B" w:rsidRDefault="0059619B" w:rsidP="0059619B">
            <w:pPr>
              <w:jc w:val="right"/>
              <w:rPr>
                <w:b/>
                <w:bCs/>
                <w:sz w:val="14"/>
                <w:szCs w:val="14"/>
              </w:rPr>
            </w:pPr>
            <w:r>
              <w:rPr>
                <w:b/>
                <w:bCs/>
                <w:sz w:val="14"/>
                <w:szCs w:val="14"/>
              </w:rPr>
              <w:t>6,011,267</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7,033,598</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8,055,328</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7,009,716</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7,128,548</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7,990,665</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8,055,328</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7,940,952</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b/>
                <w:bCs/>
                <w:sz w:val="14"/>
                <w:szCs w:val="14"/>
              </w:rPr>
            </w:pPr>
            <w:r>
              <w:rPr>
                <w:b/>
                <w:bCs/>
                <w:sz w:val="14"/>
                <w:szCs w:val="14"/>
              </w:rPr>
              <w:t>7,951,193</w:t>
            </w:r>
          </w:p>
        </w:tc>
      </w:tr>
      <w:tr w:rsidR="0059619B"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59619B" w:rsidRPr="00AC5C7D" w:rsidRDefault="0059619B" w:rsidP="0059619B">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59619B" w:rsidRDefault="0059619B" w:rsidP="0059619B">
            <w:pPr>
              <w:jc w:val="right"/>
              <w:rPr>
                <w:b/>
                <w:bCs/>
                <w:sz w:val="14"/>
                <w:szCs w:val="14"/>
              </w:rPr>
            </w:pPr>
            <w:r>
              <w:rPr>
                <w:b/>
                <w:bCs/>
                <w:sz w:val="14"/>
                <w:szCs w:val="14"/>
              </w:rPr>
              <w:t>5,197,473</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5,972,968</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6,666,505</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5,924,187</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6,003,592</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6,601,372</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6,666,505</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6,551,565</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b/>
                <w:bCs/>
                <w:sz w:val="14"/>
                <w:szCs w:val="14"/>
              </w:rPr>
            </w:pPr>
            <w:r>
              <w:rPr>
                <w:b/>
                <w:bCs/>
                <w:sz w:val="14"/>
                <w:szCs w:val="14"/>
              </w:rPr>
              <w:t>6,576,600</w:t>
            </w:r>
          </w:p>
        </w:tc>
      </w:tr>
      <w:tr w:rsidR="0059619B"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59619B" w:rsidRPr="00AC5C7D" w:rsidRDefault="0059619B" w:rsidP="0059619B">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59619B" w:rsidRDefault="0059619B" w:rsidP="0059619B">
            <w:pPr>
              <w:jc w:val="right"/>
              <w:rPr>
                <w:sz w:val="14"/>
                <w:szCs w:val="14"/>
              </w:rPr>
            </w:pPr>
            <w:r>
              <w:rPr>
                <w:sz w:val="14"/>
                <w:szCs w:val="14"/>
              </w:rPr>
              <w:t>4,241,174</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4,789,627</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5,276,240</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4,748,789</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4,823,720</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5,214,851</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5,276,240</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5,159,186</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5,188,959</w:t>
            </w:r>
          </w:p>
        </w:tc>
      </w:tr>
      <w:tr w:rsidR="0059619B"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59619B" w:rsidRPr="00AC5C7D" w:rsidRDefault="0059619B" w:rsidP="0059619B">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59619B" w:rsidRDefault="0059619B" w:rsidP="0059619B">
            <w:pPr>
              <w:jc w:val="right"/>
              <w:rPr>
                <w:sz w:val="14"/>
                <w:szCs w:val="14"/>
              </w:rPr>
            </w:pPr>
            <w:r>
              <w:rPr>
                <w:sz w:val="14"/>
                <w:szCs w:val="14"/>
              </w:rPr>
              <w:t>628,335</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732,195</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835,105</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725,432</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725,693</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825,774</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835,105</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826,822</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815,765</w:t>
            </w:r>
          </w:p>
        </w:tc>
      </w:tr>
      <w:tr w:rsidR="0059619B"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59619B" w:rsidRPr="00AC5C7D" w:rsidRDefault="0059619B" w:rsidP="0059619B">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59619B" w:rsidRDefault="0059619B" w:rsidP="0059619B">
            <w:pPr>
              <w:jc w:val="right"/>
              <w:rPr>
                <w:sz w:val="14"/>
                <w:szCs w:val="14"/>
              </w:rPr>
            </w:pPr>
            <w:r>
              <w:rPr>
                <w:sz w:val="14"/>
                <w:szCs w:val="14"/>
              </w:rPr>
              <w:t>327,963</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451,146</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555,160</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449,965</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454,178</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560,747</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555,160</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565,557</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571,876</w:t>
            </w:r>
          </w:p>
        </w:tc>
      </w:tr>
      <w:tr w:rsidR="0059619B"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9619B" w:rsidRPr="00AC5C7D" w:rsidRDefault="0059619B" w:rsidP="0059619B">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822,797</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1,068,199</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1,394,221</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1,092,540</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1,131,962</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1,394,981</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1,394,221</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1,394,883</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b/>
                <w:bCs/>
                <w:sz w:val="14"/>
                <w:szCs w:val="14"/>
              </w:rPr>
            </w:pPr>
            <w:r>
              <w:rPr>
                <w:b/>
                <w:bCs/>
                <w:sz w:val="14"/>
                <w:szCs w:val="14"/>
              </w:rPr>
              <w:t>1,379,722</w:t>
            </w:r>
          </w:p>
        </w:tc>
      </w:tr>
      <w:tr w:rsidR="0059619B" w:rsidRPr="00247299" w:rsidTr="00AB7A08">
        <w:trPr>
          <w:trHeight w:hRule="exact" w:val="189"/>
          <w:jc w:val="center"/>
        </w:trPr>
        <w:tc>
          <w:tcPr>
            <w:tcW w:w="3337" w:type="dxa"/>
            <w:tcBorders>
              <w:top w:val="nil"/>
              <w:left w:val="nil"/>
              <w:bottom w:val="nil"/>
              <w:right w:val="nil"/>
            </w:tcBorders>
            <w:shd w:val="clear" w:color="auto" w:fill="auto"/>
            <w:noWrap/>
            <w:tcMar>
              <w:left w:w="86" w:type="dxa"/>
              <w:right w:w="29" w:type="dxa"/>
            </w:tcMar>
            <w:vAlign w:val="center"/>
            <w:hideMark/>
          </w:tcPr>
          <w:p w:rsidR="0059619B" w:rsidRPr="00AC5C7D" w:rsidRDefault="0059619B" w:rsidP="0059619B">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59619B" w:rsidRDefault="0059619B" w:rsidP="0059619B">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b/>
                <w:bCs/>
                <w:sz w:val="14"/>
                <w:szCs w:val="14"/>
              </w:rPr>
            </w:pPr>
            <w:r>
              <w:rPr>
                <w:b/>
                <w:bCs/>
                <w:sz w:val="14"/>
                <w:szCs w:val="14"/>
              </w:rPr>
              <w:t>(24,244)</w:t>
            </w:r>
          </w:p>
        </w:tc>
      </w:tr>
      <w:tr w:rsidR="0059619B"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59619B" w:rsidRPr="00AC5C7D" w:rsidRDefault="0059619B" w:rsidP="0059619B">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59619B" w:rsidRDefault="0059619B" w:rsidP="0059619B">
            <w:pPr>
              <w:jc w:val="right"/>
              <w:rPr>
                <w:b/>
                <w:bCs/>
                <w:sz w:val="14"/>
                <w:szCs w:val="14"/>
              </w:rPr>
            </w:pPr>
            <w:r>
              <w:rPr>
                <w:b/>
                <w:bCs/>
                <w:sz w:val="14"/>
                <w:szCs w:val="14"/>
              </w:rPr>
              <w:t>15,241</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16,675</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18,846</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17,233</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17,239</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18,556</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18,846</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18,748</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b/>
                <w:bCs/>
                <w:sz w:val="14"/>
                <w:szCs w:val="14"/>
              </w:rPr>
            </w:pPr>
            <w:r>
              <w:rPr>
                <w:b/>
                <w:bCs/>
                <w:sz w:val="14"/>
                <w:szCs w:val="14"/>
              </w:rPr>
              <w:t>19,115</w:t>
            </w:r>
          </w:p>
        </w:tc>
      </w:tr>
      <w:tr w:rsidR="0059619B"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59619B" w:rsidRPr="00AC5C7D" w:rsidRDefault="0059619B" w:rsidP="0059619B">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59619B" w:rsidRDefault="0059619B" w:rsidP="0059619B">
            <w:pPr>
              <w:jc w:val="right"/>
              <w:rPr>
                <w:b/>
                <w:bCs/>
                <w:sz w:val="14"/>
                <w:szCs w:val="14"/>
              </w:rPr>
            </w:pPr>
            <w:r>
              <w:rPr>
                <w:b/>
                <w:bCs/>
                <w:sz w:val="14"/>
                <w:szCs w:val="14"/>
              </w:rPr>
              <w:t>(988,031)</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(1,027,682)</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(1,087,294)</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(1,152,914)</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(1,128,765)</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(1,267,561)</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(1,087,294)</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(1,340,100)</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b/>
                <w:bCs/>
                <w:sz w:val="14"/>
                <w:szCs w:val="14"/>
              </w:rPr>
            </w:pPr>
            <w:r>
              <w:rPr>
                <w:b/>
                <w:bCs/>
                <w:sz w:val="14"/>
                <w:szCs w:val="14"/>
              </w:rPr>
              <w:t>(1,441,637)</w:t>
            </w:r>
          </w:p>
        </w:tc>
      </w:tr>
      <w:tr w:rsidR="0059619B"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59619B" w:rsidRPr="00AC5C7D" w:rsidRDefault="0059619B" w:rsidP="0059619B">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59619B" w:rsidRDefault="0059619B" w:rsidP="0059619B">
            <w:pPr>
              <w:jc w:val="right"/>
              <w:rPr>
                <w:b/>
                <w:bCs/>
                <w:sz w:val="14"/>
                <w:szCs w:val="14"/>
              </w:rPr>
            </w:pPr>
            <w:r>
              <w:rPr>
                <w:b/>
                <w:bCs/>
                <w:sz w:val="14"/>
                <w:szCs w:val="14"/>
              </w:rPr>
              <w:t>14,580,882</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15,997,162</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17,798,494</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15,626,277</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15,927,798</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r>
              <w:rPr>
                <w:b/>
                <w:bCs/>
                <w:sz w:val="14"/>
                <w:szCs w:val="14"/>
              </w:rPr>
              <w:t>17,102,511</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17,798,494</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r>
              <w:rPr>
                <w:b/>
                <w:bCs/>
                <w:sz w:val="14"/>
                <w:szCs w:val="14"/>
              </w:rPr>
              <w:t>17,455,265</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b/>
                <w:bCs/>
                <w:sz w:val="14"/>
                <w:szCs w:val="14"/>
              </w:rPr>
            </w:pPr>
            <w:r>
              <w:rPr>
                <w:b/>
                <w:bCs/>
                <w:sz w:val="14"/>
                <w:szCs w:val="14"/>
              </w:rPr>
              <w:t>17,667,652</w:t>
            </w:r>
          </w:p>
        </w:tc>
      </w:tr>
      <w:tr w:rsidR="0059619B"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59619B" w:rsidRPr="00AC5C7D" w:rsidRDefault="0059619B" w:rsidP="0059619B">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59619B" w:rsidRPr="0054158B" w:rsidRDefault="0059619B" w:rsidP="0059619B">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59619B" w:rsidRPr="0054158B" w:rsidRDefault="0059619B" w:rsidP="0059619B">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20"/>
              </w:rPr>
            </w:pPr>
          </w:p>
        </w:tc>
      </w:tr>
      <w:tr w:rsidR="0059619B"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59619B" w:rsidRPr="00AC5C7D" w:rsidRDefault="0059619B" w:rsidP="0059619B">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59619B" w:rsidRDefault="0059619B" w:rsidP="0059619B">
            <w:pPr>
              <w:jc w:val="right"/>
              <w:rPr>
                <w:sz w:val="14"/>
                <w:szCs w:val="14"/>
              </w:rPr>
            </w:pPr>
            <w:r>
              <w:rPr>
                <w:sz w:val="14"/>
                <w:szCs w:val="14"/>
              </w:rPr>
              <w:t>50,463</w:t>
            </w:r>
          </w:p>
        </w:tc>
        <w:tc>
          <w:tcPr>
            <w:tcW w:w="769"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73,953</w:t>
            </w:r>
          </w:p>
        </w:tc>
        <w:tc>
          <w:tcPr>
            <w:tcW w:w="786"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2,912</w:t>
            </w:r>
          </w:p>
        </w:tc>
        <w:tc>
          <w:tcPr>
            <w:tcW w:w="81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56,605</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69,709</w:t>
            </w:r>
          </w:p>
        </w:tc>
        <w:tc>
          <w:tcPr>
            <w:tcW w:w="720" w:type="dxa"/>
            <w:tcBorders>
              <w:top w:val="nil"/>
              <w:left w:val="nil"/>
              <w:bottom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237,654</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2,912</w:t>
            </w:r>
          </w:p>
        </w:tc>
        <w:tc>
          <w:tcPr>
            <w:tcW w:w="720" w:type="dxa"/>
            <w:tcBorders>
              <w:top w:val="nil"/>
              <w:left w:val="nil"/>
              <w:bottom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78,350</w:t>
            </w:r>
          </w:p>
        </w:tc>
        <w:tc>
          <w:tcPr>
            <w:tcW w:w="744" w:type="dxa"/>
            <w:tcBorders>
              <w:top w:val="nil"/>
              <w:left w:val="nil"/>
              <w:bottom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171,937</w:t>
            </w:r>
          </w:p>
        </w:tc>
      </w:tr>
      <w:tr w:rsidR="0059619B"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59619B" w:rsidRPr="00AC5C7D" w:rsidRDefault="0059619B" w:rsidP="0059619B">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59619B" w:rsidRDefault="0059619B" w:rsidP="0059619B">
            <w:pPr>
              <w:jc w:val="right"/>
              <w:rPr>
                <w:sz w:val="14"/>
                <w:szCs w:val="14"/>
              </w:rPr>
            </w:pPr>
            <w:r>
              <w:rPr>
                <w:sz w:val="14"/>
                <w:szCs w:val="14"/>
              </w:rPr>
              <w:t>3,711,754</w:t>
            </w:r>
          </w:p>
        </w:tc>
        <w:tc>
          <w:tcPr>
            <w:tcW w:w="769" w:type="dxa"/>
            <w:tcBorders>
              <w:top w:val="nil"/>
              <w:left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4,743,836</w:t>
            </w:r>
          </w:p>
        </w:tc>
        <w:tc>
          <w:tcPr>
            <w:tcW w:w="786" w:type="dxa"/>
            <w:tcBorders>
              <w:top w:val="nil"/>
              <w:left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4,363,090</w:t>
            </w:r>
          </w:p>
        </w:tc>
        <w:tc>
          <w:tcPr>
            <w:tcW w:w="810" w:type="dxa"/>
            <w:tcBorders>
              <w:top w:val="nil"/>
              <w:left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4,753,074</w:t>
            </w:r>
          </w:p>
        </w:tc>
        <w:tc>
          <w:tcPr>
            <w:tcW w:w="720" w:type="dxa"/>
            <w:tcBorders>
              <w:top w:val="nil"/>
              <w:left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3,869,361</w:t>
            </w:r>
          </w:p>
        </w:tc>
        <w:tc>
          <w:tcPr>
            <w:tcW w:w="720" w:type="dxa"/>
            <w:tcBorders>
              <w:top w:val="nil"/>
              <w:left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4,106,154</w:t>
            </w:r>
          </w:p>
        </w:tc>
        <w:tc>
          <w:tcPr>
            <w:tcW w:w="720" w:type="dxa"/>
            <w:tcBorders>
              <w:top w:val="nil"/>
              <w:left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4,363,090</w:t>
            </w:r>
          </w:p>
        </w:tc>
        <w:tc>
          <w:tcPr>
            <w:tcW w:w="720" w:type="dxa"/>
            <w:tcBorders>
              <w:top w:val="nil"/>
              <w:left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5,423,868</w:t>
            </w:r>
          </w:p>
        </w:tc>
        <w:tc>
          <w:tcPr>
            <w:tcW w:w="744" w:type="dxa"/>
            <w:tcBorders>
              <w:top w:val="nil"/>
              <w:left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4,298,289</w:t>
            </w:r>
          </w:p>
        </w:tc>
      </w:tr>
      <w:tr w:rsidR="0059619B"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59619B" w:rsidRPr="00B53708" w:rsidRDefault="0059619B" w:rsidP="0059619B">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59619B" w:rsidRDefault="0059619B" w:rsidP="0059619B">
            <w:pPr>
              <w:jc w:val="right"/>
              <w:rPr>
                <w:sz w:val="14"/>
                <w:szCs w:val="14"/>
              </w:rPr>
            </w:pPr>
            <w:r>
              <w:rPr>
                <w:sz w:val="14"/>
                <w:szCs w:val="14"/>
              </w:rPr>
              <w:t>8,163,028</w:t>
            </w:r>
          </w:p>
        </w:tc>
        <w:tc>
          <w:tcPr>
            <w:tcW w:w="769" w:type="dxa"/>
            <w:tcBorders>
              <w:top w:val="nil"/>
              <w:left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9,283,551</w:t>
            </w:r>
          </w:p>
        </w:tc>
        <w:tc>
          <w:tcPr>
            <w:tcW w:w="786" w:type="dxa"/>
            <w:tcBorders>
              <w:top w:val="nil"/>
              <w:left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11,546,779</w:t>
            </w:r>
          </w:p>
        </w:tc>
        <w:tc>
          <w:tcPr>
            <w:tcW w:w="810" w:type="dxa"/>
            <w:tcBorders>
              <w:top w:val="nil"/>
              <w:left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9,002,383</w:t>
            </w:r>
          </w:p>
        </w:tc>
        <w:tc>
          <w:tcPr>
            <w:tcW w:w="720" w:type="dxa"/>
            <w:tcBorders>
              <w:top w:val="nil"/>
              <w:left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9,207,742</w:t>
            </w:r>
          </w:p>
        </w:tc>
        <w:tc>
          <w:tcPr>
            <w:tcW w:w="720" w:type="dxa"/>
            <w:tcBorders>
              <w:top w:val="nil"/>
              <w:left w:val="nil"/>
              <w:right w:val="nil"/>
            </w:tcBorders>
            <w:shd w:val="clear" w:color="auto" w:fill="auto"/>
            <w:tcMar>
              <w:left w:w="29" w:type="dxa"/>
              <w:right w:w="29" w:type="dxa"/>
            </w:tcMar>
            <w:vAlign w:val="center"/>
            <w:hideMark/>
          </w:tcPr>
          <w:p w:rsidR="0059619B" w:rsidRDefault="0059619B" w:rsidP="0059619B">
            <w:pPr>
              <w:jc w:val="right"/>
              <w:rPr>
                <w:sz w:val="14"/>
                <w:szCs w:val="14"/>
              </w:rPr>
            </w:pPr>
            <w:r>
              <w:rPr>
                <w:sz w:val="14"/>
                <w:szCs w:val="14"/>
              </w:rPr>
              <w:t>10,642,967</w:t>
            </w:r>
          </w:p>
        </w:tc>
        <w:tc>
          <w:tcPr>
            <w:tcW w:w="720" w:type="dxa"/>
            <w:tcBorders>
              <w:top w:val="nil"/>
              <w:left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11,546,779</w:t>
            </w:r>
          </w:p>
        </w:tc>
        <w:tc>
          <w:tcPr>
            <w:tcW w:w="720" w:type="dxa"/>
            <w:tcBorders>
              <w:top w:val="nil"/>
              <w:left w:val="nil"/>
              <w:right w:val="nil"/>
            </w:tcBorders>
            <w:shd w:val="clear" w:color="auto" w:fill="auto"/>
            <w:tcMar>
              <w:left w:w="29" w:type="dxa"/>
              <w:right w:w="29" w:type="dxa"/>
            </w:tcMar>
            <w:vAlign w:val="center"/>
          </w:tcPr>
          <w:p w:rsidR="0059619B" w:rsidRDefault="0059619B" w:rsidP="0059619B">
            <w:pPr>
              <w:jc w:val="right"/>
              <w:rPr>
                <w:sz w:val="14"/>
                <w:szCs w:val="14"/>
              </w:rPr>
            </w:pPr>
            <w:r>
              <w:rPr>
                <w:sz w:val="14"/>
                <w:szCs w:val="14"/>
              </w:rPr>
              <w:t>11,380,876</w:t>
            </w:r>
          </w:p>
        </w:tc>
        <w:tc>
          <w:tcPr>
            <w:tcW w:w="744" w:type="dxa"/>
            <w:tcBorders>
              <w:top w:val="nil"/>
              <w:left w:val="nil"/>
              <w:right w:val="nil"/>
            </w:tcBorders>
            <w:shd w:val="clear" w:color="auto" w:fill="auto"/>
            <w:noWrap/>
            <w:tcMar>
              <w:left w:w="29" w:type="dxa"/>
              <w:right w:w="29" w:type="dxa"/>
            </w:tcMar>
            <w:vAlign w:val="center"/>
          </w:tcPr>
          <w:p w:rsidR="0059619B" w:rsidRDefault="0059619B" w:rsidP="0059619B">
            <w:pPr>
              <w:jc w:val="right"/>
              <w:rPr>
                <w:sz w:val="14"/>
                <w:szCs w:val="14"/>
              </w:rPr>
            </w:pPr>
            <w:r>
              <w:rPr>
                <w:sz w:val="14"/>
                <w:szCs w:val="14"/>
              </w:rPr>
              <w:t>11,452,860</w:t>
            </w:r>
          </w:p>
        </w:tc>
      </w:tr>
      <w:tr w:rsidR="0059619B"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59619B" w:rsidRPr="0018778B" w:rsidRDefault="0059619B" w:rsidP="0059619B">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59619B" w:rsidRDefault="0059619B" w:rsidP="0059619B">
            <w:pPr>
              <w:jc w:val="right"/>
              <w:rPr>
                <w:i/>
                <w:iCs/>
                <w:sz w:val="14"/>
                <w:szCs w:val="14"/>
              </w:rPr>
            </w:pPr>
            <w:r>
              <w:rPr>
                <w:i/>
                <w:iCs/>
                <w:sz w:val="14"/>
                <w:szCs w:val="14"/>
              </w:rPr>
              <w:t>2,299,646</w:t>
            </w:r>
          </w:p>
        </w:tc>
        <w:tc>
          <w:tcPr>
            <w:tcW w:w="769" w:type="dxa"/>
            <w:tcBorders>
              <w:top w:val="nil"/>
              <w:left w:val="nil"/>
              <w:right w:val="nil"/>
            </w:tcBorders>
            <w:shd w:val="clear" w:color="auto" w:fill="auto"/>
            <w:tcMar>
              <w:left w:w="29" w:type="dxa"/>
              <w:right w:w="29" w:type="dxa"/>
            </w:tcMar>
            <w:vAlign w:val="center"/>
          </w:tcPr>
          <w:p w:rsidR="0059619B" w:rsidRDefault="0059619B" w:rsidP="0059619B">
            <w:pPr>
              <w:jc w:val="right"/>
              <w:rPr>
                <w:i/>
                <w:iCs/>
                <w:sz w:val="14"/>
                <w:szCs w:val="14"/>
              </w:rPr>
            </w:pPr>
            <w:r>
              <w:rPr>
                <w:i/>
                <w:iCs/>
                <w:sz w:val="14"/>
                <w:szCs w:val="14"/>
              </w:rPr>
              <w:t>3,539,453</w:t>
            </w:r>
          </w:p>
        </w:tc>
        <w:tc>
          <w:tcPr>
            <w:tcW w:w="786" w:type="dxa"/>
            <w:tcBorders>
              <w:top w:val="nil"/>
              <w:left w:val="nil"/>
              <w:right w:val="nil"/>
            </w:tcBorders>
            <w:shd w:val="clear" w:color="auto" w:fill="auto"/>
            <w:tcMar>
              <w:left w:w="29" w:type="dxa"/>
              <w:right w:w="29" w:type="dxa"/>
            </w:tcMar>
            <w:vAlign w:val="center"/>
          </w:tcPr>
          <w:p w:rsidR="0059619B" w:rsidRDefault="0059619B" w:rsidP="0059619B">
            <w:pPr>
              <w:jc w:val="right"/>
              <w:rPr>
                <w:i/>
                <w:iCs/>
                <w:sz w:val="14"/>
                <w:szCs w:val="14"/>
              </w:rPr>
            </w:pPr>
            <w:r>
              <w:rPr>
                <w:i/>
                <w:iCs/>
                <w:sz w:val="14"/>
                <w:szCs w:val="14"/>
              </w:rPr>
              <w:t>6,689,843</w:t>
            </w:r>
          </w:p>
        </w:tc>
        <w:tc>
          <w:tcPr>
            <w:tcW w:w="810" w:type="dxa"/>
            <w:tcBorders>
              <w:top w:val="nil"/>
              <w:left w:val="nil"/>
              <w:right w:val="nil"/>
            </w:tcBorders>
            <w:shd w:val="clear" w:color="auto" w:fill="auto"/>
            <w:tcMar>
              <w:left w:w="29" w:type="dxa"/>
              <w:right w:w="29" w:type="dxa"/>
            </w:tcMar>
            <w:vAlign w:val="center"/>
            <w:hideMark/>
          </w:tcPr>
          <w:p w:rsidR="0059619B" w:rsidRDefault="0059619B" w:rsidP="0059619B">
            <w:pPr>
              <w:jc w:val="right"/>
              <w:rPr>
                <w:i/>
                <w:iCs/>
                <w:sz w:val="14"/>
                <w:szCs w:val="14"/>
              </w:rPr>
            </w:pPr>
            <w:r>
              <w:rPr>
                <w:i/>
                <w:iCs/>
                <w:sz w:val="14"/>
                <w:szCs w:val="14"/>
              </w:rPr>
              <w:t>3,612,100</w:t>
            </w:r>
          </w:p>
        </w:tc>
        <w:tc>
          <w:tcPr>
            <w:tcW w:w="720" w:type="dxa"/>
            <w:tcBorders>
              <w:top w:val="nil"/>
              <w:left w:val="nil"/>
              <w:right w:val="nil"/>
            </w:tcBorders>
            <w:shd w:val="clear" w:color="auto" w:fill="auto"/>
            <w:tcMar>
              <w:left w:w="29" w:type="dxa"/>
              <w:right w:w="29" w:type="dxa"/>
            </w:tcMar>
            <w:vAlign w:val="center"/>
          </w:tcPr>
          <w:p w:rsidR="0059619B" w:rsidRDefault="0059619B" w:rsidP="0059619B">
            <w:pPr>
              <w:jc w:val="right"/>
              <w:rPr>
                <w:i/>
                <w:iCs/>
                <w:sz w:val="14"/>
                <w:szCs w:val="14"/>
              </w:rPr>
            </w:pPr>
            <w:r>
              <w:rPr>
                <w:i/>
                <w:iCs/>
                <w:sz w:val="14"/>
                <w:szCs w:val="14"/>
              </w:rPr>
              <w:t>4,638,905</w:t>
            </w:r>
          </w:p>
        </w:tc>
        <w:tc>
          <w:tcPr>
            <w:tcW w:w="720" w:type="dxa"/>
            <w:tcBorders>
              <w:top w:val="nil"/>
              <w:left w:val="nil"/>
              <w:right w:val="nil"/>
            </w:tcBorders>
            <w:shd w:val="clear" w:color="auto" w:fill="auto"/>
            <w:tcMar>
              <w:left w:w="29" w:type="dxa"/>
              <w:right w:w="29" w:type="dxa"/>
            </w:tcMar>
            <w:vAlign w:val="center"/>
            <w:hideMark/>
          </w:tcPr>
          <w:p w:rsidR="0059619B" w:rsidRDefault="0059619B" w:rsidP="0059619B">
            <w:pPr>
              <w:jc w:val="right"/>
              <w:rPr>
                <w:i/>
                <w:iCs/>
                <w:sz w:val="14"/>
                <w:szCs w:val="14"/>
              </w:rPr>
            </w:pPr>
            <w:r>
              <w:rPr>
                <w:i/>
                <w:iCs/>
                <w:sz w:val="14"/>
                <w:szCs w:val="14"/>
              </w:rPr>
              <w:t>5,957,058</w:t>
            </w:r>
          </w:p>
        </w:tc>
        <w:tc>
          <w:tcPr>
            <w:tcW w:w="720" w:type="dxa"/>
            <w:tcBorders>
              <w:top w:val="nil"/>
              <w:left w:val="nil"/>
              <w:right w:val="nil"/>
            </w:tcBorders>
            <w:shd w:val="clear" w:color="auto" w:fill="auto"/>
            <w:tcMar>
              <w:left w:w="29" w:type="dxa"/>
              <w:right w:w="29" w:type="dxa"/>
            </w:tcMar>
            <w:vAlign w:val="center"/>
          </w:tcPr>
          <w:p w:rsidR="0059619B" w:rsidRDefault="0059619B" w:rsidP="0059619B">
            <w:pPr>
              <w:jc w:val="right"/>
              <w:rPr>
                <w:i/>
                <w:iCs/>
                <w:sz w:val="14"/>
                <w:szCs w:val="14"/>
              </w:rPr>
            </w:pPr>
            <w:r>
              <w:rPr>
                <w:i/>
                <w:iCs/>
                <w:sz w:val="14"/>
                <w:szCs w:val="14"/>
              </w:rPr>
              <w:t>6,689,843</w:t>
            </w:r>
          </w:p>
        </w:tc>
        <w:tc>
          <w:tcPr>
            <w:tcW w:w="720" w:type="dxa"/>
            <w:tcBorders>
              <w:top w:val="nil"/>
              <w:left w:val="nil"/>
              <w:right w:val="nil"/>
            </w:tcBorders>
            <w:shd w:val="clear" w:color="auto" w:fill="auto"/>
            <w:tcMar>
              <w:left w:w="29" w:type="dxa"/>
              <w:right w:w="29" w:type="dxa"/>
            </w:tcMar>
            <w:vAlign w:val="center"/>
          </w:tcPr>
          <w:p w:rsidR="0059619B" w:rsidRDefault="0059619B" w:rsidP="0059619B">
            <w:pPr>
              <w:jc w:val="right"/>
              <w:rPr>
                <w:i/>
                <w:iCs/>
                <w:sz w:val="14"/>
                <w:szCs w:val="14"/>
              </w:rPr>
            </w:pPr>
            <w:r>
              <w:rPr>
                <w:i/>
                <w:iCs/>
                <w:sz w:val="14"/>
                <w:szCs w:val="14"/>
              </w:rPr>
              <w:t>5,329,078</w:t>
            </w:r>
          </w:p>
        </w:tc>
        <w:tc>
          <w:tcPr>
            <w:tcW w:w="744" w:type="dxa"/>
            <w:tcBorders>
              <w:top w:val="nil"/>
              <w:left w:val="nil"/>
              <w:right w:val="nil"/>
            </w:tcBorders>
            <w:shd w:val="clear" w:color="auto" w:fill="auto"/>
            <w:noWrap/>
            <w:tcMar>
              <w:left w:w="29" w:type="dxa"/>
              <w:right w:w="29" w:type="dxa"/>
            </w:tcMar>
            <w:vAlign w:val="center"/>
          </w:tcPr>
          <w:p w:rsidR="0059619B" w:rsidRDefault="0059619B" w:rsidP="0059619B">
            <w:pPr>
              <w:jc w:val="right"/>
              <w:rPr>
                <w:i/>
                <w:iCs/>
                <w:sz w:val="14"/>
                <w:szCs w:val="14"/>
              </w:rPr>
            </w:pPr>
            <w:r>
              <w:rPr>
                <w:i/>
                <w:iCs/>
                <w:sz w:val="14"/>
                <w:szCs w:val="14"/>
              </w:rPr>
              <w:t>6,090,381</w:t>
            </w:r>
          </w:p>
        </w:tc>
      </w:tr>
      <w:tr w:rsidR="0059619B" w:rsidRPr="00247299" w:rsidTr="00AB7A08">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59619B" w:rsidRPr="0018778B" w:rsidRDefault="0059619B" w:rsidP="0059619B">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59619B" w:rsidRDefault="0059619B" w:rsidP="0059619B">
            <w:pPr>
              <w:jc w:val="right"/>
              <w:rPr>
                <w:i/>
                <w:iCs/>
                <w:sz w:val="14"/>
                <w:szCs w:val="14"/>
              </w:rPr>
            </w:pPr>
            <w:r>
              <w:rPr>
                <w:i/>
                <w:iCs/>
                <w:sz w:val="14"/>
                <w:szCs w:val="14"/>
              </w:rPr>
              <w:t>5,863,382</w:t>
            </w:r>
          </w:p>
        </w:tc>
        <w:tc>
          <w:tcPr>
            <w:tcW w:w="769" w:type="dxa"/>
            <w:tcBorders>
              <w:left w:val="nil"/>
              <w:bottom w:val="single" w:sz="12" w:space="0" w:color="auto"/>
              <w:right w:val="nil"/>
            </w:tcBorders>
            <w:shd w:val="clear" w:color="auto" w:fill="auto"/>
            <w:tcMar>
              <w:left w:w="29" w:type="dxa"/>
              <w:right w:w="29" w:type="dxa"/>
            </w:tcMar>
            <w:vAlign w:val="center"/>
          </w:tcPr>
          <w:p w:rsidR="0059619B" w:rsidRDefault="0059619B" w:rsidP="0059619B">
            <w:pPr>
              <w:jc w:val="right"/>
              <w:rPr>
                <w:i/>
                <w:iCs/>
                <w:sz w:val="14"/>
                <w:szCs w:val="14"/>
              </w:rPr>
            </w:pPr>
            <w:r>
              <w:rPr>
                <w:i/>
                <w:iCs/>
                <w:sz w:val="14"/>
                <w:szCs w:val="14"/>
              </w:rPr>
              <w:t>5,744,098</w:t>
            </w:r>
          </w:p>
        </w:tc>
        <w:tc>
          <w:tcPr>
            <w:tcW w:w="786" w:type="dxa"/>
            <w:tcBorders>
              <w:left w:val="nil"/>
              <w:bottom w:val="single" w:sz="12" w:space="0" w:color="auto"/>
              <w:right w:val="nil"/>
            </w:tcBorders>
            <w:shd w:val="clear" w:color="auto" w:fill="auto"/>
            <w:tcMar>
              <w:left w:w="29" w:type="dxa"/>
              <w:right w:w="29" w:type="dxa"/>
            </w:tcMar>
            <w:vAlign w:val="center"/>
          </w:tcPr>
          <w:p w:rsidR="0059619B" w:rsidRDefault="0059619B" w:rsidP="0059619B">
            <w:pPr>
              <w:jc w:val="right"/>
              <w:rPr>
                <w:i/>
                <w:iCs/>
                <w:sz w:val="14"/>
                <w:szCs w:val="14"/>
              </w:rPr>
            </w:pPr>
            <w:r>
              <w:rPr>
                <w:i/>
                <w:iCs/>
                <w:sz w:val="14"/>
                <w:szCs w:val="14"/>
              </w:rPr>
              <w:t>4,856,935</w:t>
            </w:r>
          </w:p>
        </w:tc>
        <w:tc>
          <w:tcPr>
            <w:tcW w:w="810" w:type="dxa"/>
            <w:tcBorders>
              <w:left w:val="nil"/>
              <w:bottom w:val="single" w:sz="12" w:space="0" w:color="auto"/>
              <w:right w:val="nil"/>
            </w:tcBorders>
            <w:shd w:val="clear" w:color="auto" w:fill="auto"/>
            <w:tcMar>
              <w:left w:w="29" w:type="dxa"/>
              <w:right w:w="29" w:type="dxa"/>
            </w:tcMar>
            <w:vAlign w:val="center"/>
            <w:hideMark/>
          </w:tcPr>
          <w:p w:rsidR="0059619B" w:rsidRDefault="0059619B" w:rsidP="0059619B">
            <w:pPr>
              <w:jc w:val="right"/>
              <w:rPr>
                <w:i/>
                <w:iCs/>
                <w:sz w:val="14"/>
                <w:szCs w:val="14"/>
              </w:rPr>
            </w:pPr>
            <w:r>
              <w:rPr>
                <w:i/>
                <w:iCs/>
                <w:sz w:val="14"/>
                <w:szCs w:val="14"/>
              </w:rPr>
              <w:t>5,390,283</w:t>
            </w:r>
          </w:p>
        </w:tc>
        <w:tc>
          <w:tcPr>
            <w:tcW w:w="720" w:type="dxa"/>
            <w:tcBorders>
              <w:left w:val="nil"/>
              <w:bottom w:val="single" w:sz="12" w:space="0" w:color="auto"/>
              <w:right w:val="nil"/>
            </w:tcBorders>
            <w:shd w:val="clear" w:color="auto" w:fill="auto"/>
            <w:tcMar>
              <w:left w:w="29" w:type="dxa"/>
              <w:right w:w="29" w:type="dxa"/>
            </w:tcMar>
            <w:vAlign w:val="center"/>
          </w:tcPr>
          <w:p w:rsidR="0059619B" w:rsidRDefault="0059619B" w:rsidP="0059619B">
            <w:pPr>
              <w:jc w:val="right"/>
              <w:rPr>
                <w:i/>
                <w:iCs/>
                <w:sz w:val="14"/>
                <w:szCs w:val="14"/>
              </w:rPr>
            </w:pPr>
            <w:r>
              <w:rPr>
                <w:i/>
                <w:iCs/>
                <w:sz w:val="14"/>
                <w:szCs w:val="14"/>
              </w:rPr>
              <w:t>4,568,837</w:t>
            </w:r>
          </w:p>
        </w:tc>
        <w:tc>
          <w:tcPr>
            <w:tcW w:w="720" w:type="dxa"/>
            <w:tcBorders>
              <w:left w:val="nil"/>
              <w:bottom w:val="single" w:sz="12" w:space="0" w:color="auto"/>
              <w:right w:val="nil"/>
            </w:tcBorders>
            <w:shd w:val="clear" w:color="auto" w:fill="auto"/>
            <w:tcMar>
              <w:left w:w="29" w:type="dxa"/>
              <w:right w:w="29" w:type="dxa"/>
            </w:tcMar>
            <w:vAlign w:val="center"/>
            <w:hideMark/>
          </w:tcPr>
          <w:p w:rsidR="0059619B" w:rsidRDefault="0059619B" w:rsidP="0059619B">
            <w:pPr>
              <w:jc w:val="right"/>
              <w:rPr>
                <w:i/>
                <w:iCs/>
                <w:sz w:val="14"/>
                <w:szCs w:val="14"/>
              </w:rPr>
            </w:pPr>
            <w:r>
              <w:rPr>
                <w:i/>
                <w:iCs/>
                <w:sz w:val="14"/>
                <w:szCs w:val="14"/>
              </w:rPr>
              <w:t>4,685,909</w:t>
            </w:r>
          </w:p>
        </w:tc>
        <w:tc>
          <w:tcPr>
            <w:tcW w:w="720" w:type="dxa"/>
            <w:tcBorders>
              <w:left w:val="nil"/>
              <w:bottom w:val="single" w:sz="12" w:space="0" w:color="auto"/>
              <w:right w:val="nil"/>
            </w:tcBorders>
            <w:shd w:val="clear" w:color="auto" w:fill="auto"/>
            <w:tcMar>
              <w:left w:w="29" w:type="dxa"/>
              <w:right w:w="29" w:type="dxa"/>
            </w:tcMar>
            <w:vAlign w:val="center"/>
          </w:tcPr>
          <w:p w:rsidR="0059619B" w:rsidRDefault="0059619B" w:rsidP="0059619B">
            <w:pPr>
              <w:jc w:val="right"/>
              <w:rPr>
                <w:i/>
                <w:iCs/>
                <w:sz w:val="14"/>
                <w:szCs w:val="14"/>
              </w:rPr>
            </w:pPr>
            <w:r>
              <w:rPr>
                <w:i/>
                <w:iCs/>
                <w:sz w:val="14"/>
                <w:szCs w:val="14"/>
              </w:rPr>
              <w:t>4,856,935</w:t>
            </w:r>
          </w:p>
        </w:tc>
        <w:tc>
          <w:tcPr>
            <w:tcW w:w="720" w:type="dxa"/>
            <w:tcBorders>
              <w:left w:val="nil"/>
              <w:bottom w:val="single" w:sz="12" w:space="0" w:color="auto"/>
              <w:right w:val="nil"/>
            </w:tcBorders>
            <w:shd w:val="clear" w:color="auto" w:fill="auto"/>
            <w:tcMar>
              <w:left w:w="29" w:type="dxa"/>
              <w:right w:w="29" w:type="dxa"/>
            </w:tcMar>
            <w:vAlign w:val="center"/>
          </w:tcPr>
          <w:p w:rsidR="0059619B" w:rsidRDefault="0059619B" w:rsidP="0059619B">
            <w:pPr>
              <w:jc w:val="right"/>
              <w:rPr>
                <w:i/>
                <w:iCs/>
                <w:sz w:val="14"/>
                <w:szCs w:val="14"/>
              </w:rPr>
            </w:pPr>
            <w:r>
              <w:rPr>
                <w:i/>
                <w:iCs/>
                <w:sz w:val="14"/>
                <w:szCs w:val="14"/>
              </w:rPr>
              <w:t>6,051,799</w:t>
            </w:r>
          </w:p>
        </w:tc>
        <w:tc>
          <w:tcPr>
            <w:tcW w:w="744" w:type="dxa"/>
            <w:tcBorders>
              <w:left w:val="nil"/>
              <w:bottom w:val="single" w:sz="12" w:space="0" w:color="auto"/>
              <w:right w:val="nil"/>
            </w:tcBorders>
            <w:shd w:val="clear" w:color="auto" w:fill="auto"/>
            <w:noWrap/>
            <w:tcMar>
              <w:left w:w="29" w:type="dxa"/>
              <w:right w:w="29" w:type="dxa"/>
            </w:tcMar>
            <w:vAlign w:val="center"/>
          </w:tcPr>
          <w:p w:rsidR="0059619B" w:rsidRDefault="0059619B" w:rsidP="0059619B">
            <w:pPr>
              <w:jc w:val="right"/>
              <w:rPr>
                <w:i/>
                <w:iCs/>
                <w:sz w:val="14"/>
                <w:szCs w:val="14"/>
              </w:rPr>
            </w:pPr>
            <w:r>
              <w:rPr>
                <w:i/>
                <w:iCs/>
                <w:sz w:val="14"/>
                <w:szCs w:val="14"/>
              </w:rPr>
              <w:t>5,362,480</w:t>
            </w:r>
          </w:p>
        </w:tc>
      </w:tr>
      <w:tr w:rsidR="00802D2F"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802D2F" w:rsidRPr="00247299" w:rsidRDefault="00802D2F" w:rsidP="00802D2F">
            <w:pPr>
              <w:jc w:val="right"/>
              <w:rPr>
                <w:color w:val="auto"/>
                <w:sz w:val="14"/>
                <w:szCs w:val="14"/>
              </w:rPr>
            </w:pPr>
            <w:r>
              <w:rPr>
                <w:sz w:val="14"/>
                <w:szCs w:val="14"/>
              </w:rPr>
              <w:t>Source: Statistics &amp; Data Warehouse Department SBP</w:t>
            </w:r>
            <w:r w:rsidRPr="00247299">
              <w:rPr>
                <w:color w:val="auto"/>
                <w:sz w:val="14"/>
                <w:szCs w:val="14"/>
              </w:rPr>
              <w:t> </w:t>
            </w:r>
          </w:p>
          <w:p w:rsidR="00802D2F" w:rsidRPr="00247299" w:rsidRDefault="00802D2F" w:rsidP="00802D2F">
            <w:pPr>
              <w:jc w:val="right"/>
              <w:rPr>
                <w:rFonts w:ascii="Calibri" w:hAnsi="Calibri"/>
                <w:sz w:val="22"/>
                <w:szCs w:val="22"/>
              </w:rPr>
            </w:pPr>
            <w:r w:rsidRPr="00247299">
              <w:rPr>
                <w:i/>
                <w:iCs/>
                <w:color w:val="auto"/>
                <w:sz w:val="14"/>
                <w:szCs w:val="14"/>
              </w:rPr>
              <w:t> </w:t>
            </w:r>
          </w:p>
        </w:tc>
      </w:tr>
      <w:tr w:rsidR="00802D2F" w:rsidRPr="00916320" w:rsidTr="00916320">
        <w:trPr>
          <w:trHeight w:val="1080"/>
          <w:jc w:val="center"/>
        </w:trPr>
        <w:tc>
          <w:tcPr>
            <w:tcW w:w="10103" w:type="dxa"/>
            <w:gridSpan w:val="10"/>
            <w:tcBorders>
              <w:top w:val="nil"/>
              <w:left w:val="nil"/>
              <w:bottom w:val="nil"/>
              <w:right w:val="nil"/>
            </w:tcBorders>
            <w:shd w:val="clear" w:color="auto" w:fill="auto"/>
            <w:hideMark/>
          </w:tcPr>
          <w:p w:rsidR="00802D2F" w:rsidRPr="00916320" w:rsidRDefault="00802D2F" w:rsidP="00802D2F">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802D2F" w:rsidRPr="00916320" w:rsidRDefault="00802D2F" w:rsidP="00802D2F">
            <w:pPr>
              <w:ind w:left="162" w:hanging="180"/>
              <w:jc w:val="left"/>
              <w:rPr>
                <w:color w:val="auto"/>
                <w:sz w:val="14"/>
                <w:szCs w:val="14"/>
              </w:rPr>
            </w:pPr>
            <w:r w:rsidRPr="00916320">
              <w:rPr>
                <w:color w:val="auto"/>
                <w:sz w:val="14"/>
                <w:szCs w:val="14"/>
              </w:rPr>
              <w:t>Note:-</w:t>
            </w:r>
          </w:p>
          <w:p w:rsidR="00802D2F" w:rsidRPr="00916320" w:rsidRDefault="00802D2F" w:rsidP="00802D2F">
            <w:pPr>
              <w:ind w:left="162" w:hanging="180"/>
              <w:jc w:val="left"/>
              <w:rPr>
                <w:color w:val="auto"/>
                <w:sz w:val="14"/>
                <w:szCs w:val="14"/>
              </w:rPr>
            </w:pPr>
            <w:r w:rsidRPr="00916320">
              <w:rPr>
                <w:color w:val="auto"/>
                <w:sz w:val="14"/>
                <w:szCs w:val="14"/>
              </w:rPr>
              <w:t xml:space="preserve">i </w:t>
            </w:r>
            <w:r w:rsidR="006C7402" w:rsidRPr="00916320">
              <w:rPr>
                <w:color w:val="auto"/>
                <w:sz w:val="14"/>
                <w:szCs w:val="14"/>
              </w:rPr>
              <w:t>- Data</w:t>
            </w:r>
            <w:r w:rsidRPr="00916320">
              <w:rPr>
                <w:color w:val="auto"/>
                <w:sz w:val="14"/>
                <w:szCs w:val="14"/>
              </w:rPr>
              <w:t xml:space="preserve"> is based on weekly returns. The quarterly data covers the period up to the last working day of the month and others months data up to the last working day of last week.</w:t>
            </w:r>
          </w:p>
          <w:p w:rsidR="006C7402" w:rsidRPr="00916320" w:rsidRDefault="00802D2F" w:rsidP="006C7402">
            <w:pPr>
              <w:ind w:left="162" w:hanging="180"/>
              <w:jc w:val="left"/>
              <w:rPr>
                <w:color w:val="auto"/>
                <w:sz w:val="14"/>
                <w:szCs w:val="14"/>
              </w:rPr>
            </w:pPr>
            <w:r w:rsidRPr="00916320">
              <w:rPr>
                <w:color w:val="auto"/>
                <w:sz w:val="14"/>
                <w:szCs w:val="14"/>
              </w:rPr>
              <w:t>ii</w:t>
            </w:r>
            <w:r w:rsidR="006C7402" w:rsidRPr="00916320">
              <w:rPr>
                <w:color w:val="auto"/>
                <w:sz w:val="14"/>
                <w:szCs w:val="14"/>
              </w:rPr>
              <w:t>- From July 2019, the data on Central and Provincial Government Deposits with Scheduled Banks have been revised. This revision is due to reclassification of some of the PSEs, which were reported under Government Institutions. The coverage of PSEs has been enhanced since July 2019.</w:t>
            </w:r>
          </w:p>
          <w:p w:rsidR="00802D2F" w:rsidRPr="00916320" w:rsidRDefault="00802D2F" w:rsidP="00802D2F">
            <w:pPr>
              <w:ind w:left="162" w:hanging="180"/>
              <w:jc w:val="left"/>
              <w:rPr>
                <w:color w:val="auto"/>
                <w:sz w:val="12"/>
                <w:szCs w:val="12"/>
              </w:rPr>
            </w:pPr>
            <w:r w:rsidRPr="00916320">
              <w:rPr>
                <w:color w:val="auto"/>
                <w:sz w:val="14"/>
                <w:szCs w:val="14"/>
              </w:rPr>
              <w:t>* Note:Islamic Financings, Advances (against Murabaha etc), Inventories  and any Other related item(s) pertaining to Islamic Financing  previously reported under Other Assets has been reclassified as credit to private sector.Details of reclassifications/revisions are available in revision study on SBP website at:</w:t>
            </w:r>
            <w:r w:rsidRPr="00916320">
              <w:rPr>
                <w:sz w:val="14"/>
                <w:szCs w:val="14"/>
              </w:rPr>
              <w:t xml:space="preserve"> </w:t>
            </w:r>
            <w:hyperlink r:id="rId17"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18"/>
        <w:gridCol w:w="1142"/>
        <w:gridCol w:w="1144"/>
        <w:gridCol w:w="1259"/>
        <w:gridCol w:w="1289"/>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lastRenderedPageBreak/>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9168FC">
        <w:trPr>
          <w:cantSplit/>
          <w:trHeight w:hRule="exact" w:val="390"/>
          <w:jc w:val="center"/>
        </w:trPr>
        <w:tc>
          <w:tcPr>
            <w:tcW w:w="259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67"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9168FC">
        <w:trPr>
          <w:trHeight w:hRule="exact" w:val="624"/>
          <w:jc w:val="center"/>
        </w:trPr>
        <w:tc>
          <w:tcPr>
            <w:tcW w:w="259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F0847">
              <w:rPr>
                <w:b/>
                <w:bCs/>
                <w:color w:val="auto"/>
                <w:szCs w:val="16"/>
              </w:rPr>
              <w:t>8</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8B6D09">
            <w:pPr>
              <w:jc w:val="right"/>
              <w:rPr>
                <w:b/>
                <w:bCs/>
                <w:color w:val="auto"/>
                <w:szCs w:val="16"/>
              </w:rPr>
            </w:pPr>
            <w:r w:rsidRPr="006619BF">
              <w:rPr>
                <w:b/>
                <w:bCs/>
                <w:color w:val="auto"/>
                <w:szCs w:val="16"/>
              </w:rPr>
              <w:t>30-Jun-1</w:t>
            </w:r>
            <w:r w:rsidR="00BF0847">
              <w:rPr>
                <w:b/>
                <w:bCs/>
                <w:color w:val="auto"/>
                <w:szCs w:val="16"/>
              </w:rPr>
              <w:t>9</w:t>
            </w:r>
            <w:r w:rsidR="008B6D09">
              <w:rPr>
                <w:b/>
                <w:bCs/>
                <w:color w:val="auto"/>
                <w:szCs w:val="16"/>
              </w:rPr>
              <w:t xml:space="preserve"> </w:t>
            </w:r>
            <w:r w:rsidR="008B6D09" w:rsidRPr="008B6D09">
              <w:rPr>
                <w:b/>
                <w:bCs/>
                <w:color w:val="auto"/>
                <w:szCs w:val="16"/>
                <w:vertAlign w:val="superscript"/>
              </w:rPr>
              <w:t>R</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60F16">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960F16">
              <w:rPr>
                <w:b/>
                <w:bCs/>
                <w:color w:val="auto"/>
                <w:szCs w:val="16"/>
              </w:rPr>
              <w:t>8</w:t>
            </w:r>
          </w:p>
          <w:p w:rsidR="00E07EFE" w:rsidRPr="006619BF" w:rsidRDefault="00E07EFE" w:rsidP="009D05AF">
            <w:pPr>
              <w:rPr>
                <w:b/>
                <w:bCs/>
                <w:color w:val="auto"/>
                <w:szCs w:val="16"/>
              </w:rPr>
            </w:pPr>
            <w:r w:rsidRPr="006619BF">
              <w:rPr>
                <w:b/>
                <w:bCs/>
                <w:color w:val="auto"/>
                <w:szCs w:val="16"/>
              </w:rPr>
              <w:t>to</w:t>
            </w:r>
          </w:p>
          <w:p w:rsidR="00E07EFE" w:rsidRPr="006619BF" w:rsidRDefault="00960F16" w:rsidP="00960F16">
            <w:pPr>
              <w:rPr>
                <w:b/>
                <w:bCs/>
                <w:color w:val="auto"/>
                <w:szCs w:val="16"/>
              </w:rPr>
            </w:pPr>
            <w:r>
              <w:rPr>
                <w:b/>
                <w:bCs/>
                <w:color w:val="auto"/>
                <w:szCs w:val="16"/>
              </w:rPr>
              <w:t>31</w:t>
            </w:r>
            <w:r w:rsidRPr="00960F16">
              <w:rPr>
                <w:b/>
                <w:bCs/>
                <w:color w:val="auto"/>
                <w:szCs w:val="16"/>
                <w:vertAlign w:val="superscript"/>
              </w:rPr>
              <w:t>st</w:t>
            </w:r>
            <w:r w:rsidR="00E07EFE" w:rsidRPr="006619BF">
              <w:rPr>
                <w:b/>
                <w:bCs/>
                <w:color w:val="auto"/>
                <w:szCs w:val="16"/>
              </w:rPr>
              <w:t xml:space="preserve"> </w:t>
            </w:r>
            <w:r>
              <w:rPr>
                <w:b/>
                <w:bCs/>
                <w:color w:val="auto"/>
                <w:szCs w:val="16"/>
              </w:rPr>
              <w:t>Aug</w:t>
            </w:r>
            <w:r w:rsidR="00E07EFE" w:rsidRPr="006619BF">
              <w:rPr>
                <w:b/>
                <w:bCs/>
                <w:color w:val="auto"/>
                <w:szCs w:val="16"/>
              </w:rPr>
              <w:t xml:space="preserve"> 1</w:t>
            </w:r>
            <w:r w:rsidR="00235DC0">
              <w:rPr>
                <w:b/>
                <w:bCs/>
                <w:color w:val="auto"/>
                <w:szCs w:val="16"/>
              </w:rPr>
              <w:t>8</w:t>
            </w:r>
          </w:p>
        </w:tc>
        <w:tc>
          <w:tcPr>
            <w:tcW w:w="641"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FD0225">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FD0225">
              <w:rPr>
                <w:b/>
                <w:bCs/>
                <w:color w:val="auto"/>
                <w:szCs w:val="16"/>
              </w:rPr>
              <w:t>9</w:t>
            </w:r>
          </w:p>
          <w:p w:rsidR="00E07EFE" w:rsidRPr="006619BF" w:rsidRDefault="00E07EFE" w:rsidP="009D05AF">
            <w:pPr>
              <w:rPr>
                <w:b/>
                <w:bCs/>
                <w:color w:val="auto"/>
                <w:szCs w:val="16"/>
              </w:rPr>
            </w:pPr>
            <w:r w:rsidRPr="006619BF">
              <w:rPr>
                <w:b/>
                <w:bCs/>
                <w:color w:val="auto"/>
                <w:szCs w:val="16"/>
              </w:rPr>
              <w:t>to</w:t>
            </w:r>
          </w:p>
          <w:p w:rsidR="00E07EFE" w:rsidRPr="006619BF" w:rsidRDefault="00960F16" w:rsidP="00960F16">
            <w:pPr>
              <w:rPr>
                <w:b/>
                <w:bCs/>
                <w:color w:val="auto"/>
                <w:szCs w:val="16"/>
              </w:rPr>
            </w:pPr>
            <w:r>
              <w:rPr>
                <w:b/>
                <w:bCs/>
                <w:color w:val="auto"/>
                <w:szCs w:val="16"/>
              </w:rPr>
              <w:t>30</w:t>
            </w:r>
            <w:r w:rsidRPr="00960F16">
              <w:rPr>
                <w:b/>
                <w:bCs/>
                <w:color w:val="auto"/>
                <w:szCs w:val="16"/>
                <w:vertAlign w:val="superscript"/>
              </w:rPr>
              <w:t>t</w:t>
            </w:r>
            <w:r>
              <w:rPr>
                <w:b/>
                <w:bCs/>
                <w:color w:val="auto"/>
                <w:szCs w:val="16"/>
                <w:vertAlign w:val="superscript"/>
              </w:rPr>
              <w:t>h</w:t>
            </w:r>
            <w:r w:rsidRPr="006619BF">
              <w:rPr>
                <w:b/>
                <w:bCs/>
                <w:color w:val="auto"/>
                <w:szCs w:val="16"/>
              </w:rPr>
              <w:t xml:space="preserve"> </w:t>
            </w:r>
            <w:r>
              <w:rPr>
                <w:b/>
                <w:bCs/>
                <w:color w:val="auto"/>
                <w:szCs w:val="16"/>
              </w:rPr>
              <w:t>Aug</w:t>
            </w:r>
            <w:r w:rsidRPr="006619BF">
              <w:rPr>
                <w:b/>
                <w:bCs/>
                <w:color w:val="auto"/>
                <w:szCs w:val="16"/>
              </w:rPr>
              <w:t xml:space="preserve"> </w:t>
            </w:r>
            <w:r w:rsidR="00E07EFE">
              <w:rPr>
                <w:b/>
                <w:bCs/>
                <w:color w:val="auto"/>
                <w:szCs w:val="16"/>
              </w:rPr>
              <w:t>1</w:t>
            </w:r>
            <w:r w:rsidR="003C5D3D">
              <w:rPr>
                <w:b/>
                <w:bCs/>
                <w:color w:val="auto"/>
                <w:szCs w:val="16"/>
              </w:rPr>
              <w:t>9</w:t>
            </w:r>
          </w:p>
        </w:tc>
      </w:tr>
      <w:tr w:rsidR="00E07EFE" w:rsidRPr="00D5469A" w:rsidTr="009168FC">
        <w:trPr>
          <w:trHeight w:val="204"/>
          <w:jc w:val="center"/>
        </w:trPr>
        <w:tc>
          <w:tcPr>
            <w:tcW w:w="259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4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960F16" w:rsidRPr="00D5469A" w:rsidTr="009168FC">
        <w:trPr>
          <w:trHeight w:val="288"/>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jc w:val="left"/>
              <w:rPr>
                <w:b/>
                <w:bCs/>
                <w:color w:val="auto"/>
                <w:sz w:val="18"/>
                <w:szCs w:val="18"/>
              </w:rPr>
            </w:pPr>
            <w:r w:rsidRPr="00D5469A">
              <w:rPr>
                <w:b/>
                <w:bCs/>
                <w:color w:val="auto"/>
                <w:sz w:val="18"/>
                <w:szCs w:val="18"/>
              </w:rPr>
              <w:t>1. Central Government (a+b)</w:t>
            </w:r>
          </w:p>
        </w:tc>
        <w:tc>
          <w:tcPr>
            <w:tcW w:w="568" w:type="pct"/>
            <w:tcBorders>
              <w:top w:val="nil"/>
              <w:left w:val="nil"/>
              <w:bottom w:val="nil"/>
              <w:right w:val="nil"/>
            </w:tcBorders>
            <w:shd w:val="clear" w:color="auto" w:fill="auto"/>
            <w:vAlign w:val="center"/>
            <w:hideMark/>
          </w:tcPr>
          <w:p w:rsidR="00960F16" w:rsidRDefault="00960F16" w:rsidP="00960F16">
            <w:pPr>
              <w:jc w:val="right"/>
              <w:rPr>
                <w:b/>
                <w:bCs/>
                <w:szCs w:val="16"/>
              </w:rPr>
            </w:pPr>
            <w:r>
              <w:rPr>
                <w:b/>
                <w:bCs/>
                <w:szCs w:val="16"/>
              </w:rPr>
              <w:t>10,191,037</w:t>
            </w:r>
          </w:p>
        </w:tc>
        <w:tc>
          <w:tcPr>
            <w:tcW w:w="569" w:type="pct"/>
            <w:tcBorders>
              <w:top w:val="nil"/>
              <w:left w:val="nil"/>
              <w:bottom w:val="nil"/>
              <w:right w:val="nil"/>
            </w:tcBorders>
            <w:shd w:val="clear" w:color="auto" w:fill="auto"/>
            <w:vAlign w:val="center"/>
            <w:hideMark/>
          </w:tcPr>
          <w:p w:rsidR="00960F16" w:rsidRDefault="00960F16" w:rsidP="00960F16">
            <w:pPr>
              <w:jc w:val="right"/>
              <w:rPr>
                <w:b/>
                <w:bCs/>
                <w:szCs w:val="16"/>
              </w:rPr>
            </w:pPr>
            <w:r>
              <w:rPr>
                <w:b/>
                <w:bCs/>
                <w:szCs w:val="16"/>
              </w:rPr>
              <w:t>12,587,837</w:t>
            </w:r>
          </w:p>
        </w:tc>
        <w:tc>
          <w:tcPr>
            <w:tcW w:w="626" w:type="pct"/>
            <w:tcBorders>
              <w:top w:val="nil"/>
              <w:left w:val="nil"/>
              <w:bottom w:val="nil"/>
              <w:right w:val="nil"/>
            </w:tcBorders>
            <w:shd w:val="clear" w:color="auto" w:fill="auto"/>
            <w:vAlign w:val="center"/>
            <w:hideMark/>
          </w:tcPr>
          <w:p w:rsidR="00960F16" w:rsidRDefault="00960F16" w:rsidP="00960F16">
            <w:pPr>
              <w:jc w:val="right"/>
              <w:rPr>
                <w:b/>
                <w:bCs/>
                <w:szCs w:val="16"/>
              </w:rPr>
            </w:pPr>
            <w:r>
              <w:rPr>
                <w:b/>
                <w:bCs/>
                <w:szCs w:val="16"/>
              </w:rPr>
              <w:t>75,995</w:t>
            </w:r>
          </w:p>
        </w:tc>
        <w:tc>
          <w:tcPr>
            <w:tcW w:w="641" w:type="pct"/>
            <w:tcBorders>
              <w:top w:val="nil"/>
              <w:left w:val="nil"/>
              <w:bottom w:val="nil"/>
              <w:right w:val="nil"/>
            </w:tcBorders>
            <w:shd w:val="clear" w:color="auto" w:fill="auto"/>
            <w:vAlign w:val="center"/>
            <w:hideMark/>
          </w:tcPr>
          <w:p w:rsidR="00960F16" w:rsidRDefault="00960F16" w:rsidP="00960F16">
            <w:pPr>
              <w:jc w:val="right"/>
              <w:rPr>
                <w:b/>
                <w:bCs/>
                <w:szCs w:val="16"/>
              </w:rPr>
            </w:pPr>
            <w:r>
              <w:rPr>
                <w:b/>
                <w:bCs/>
                <w:szCs w:val="16"/>
              </w:rPr>
              <w:t>205,796</w:t>
            </w:r>
          </w:p>
        </w:tc>
      </w:tr>
      <w:tr w:rsidR="00960F16" w:rsidRPr="00D5469A" w:rsidTr="009168FC">
        <w:trPr>
          <w:trHeight w:val="288"/>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6,523,418</w:t>
            </w:r>
          </w:p>
        </w:tc>
        <w:tc>
          <w:tcPr>
            <w:tcW w:w="569"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5,753,677</w:t>
            </w:r>
          </w:p>
        </w:tc>
        <w:tc>
          <w:tcPr>
            <w:tcW w:w="626"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(1,202,948)</w:t>
            </w:r>
          </w:p>
        </w:tc>
        <w:tc>
          <w:tcPr>
            <w:tcW w:w="641"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456,647</w:t>
            </w:r>
          </w:p>
        </w:tc>
      </w:tr>
      <w:tr w:rsidR="00960F16" w:rsidRPr="00D5469A" w:rsidTr="009168FC">
        <w:trPr>
          <w:trHeight w:val="288"/>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7,607,173</w:t>
            </w:r>
          </w:p>
        </w:tc>
        <w:tc>
          <w:tcPr>
            <w:tcW w:w="569"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6,982,021</w:t>
            </w:r>
          </w:p>
        </w:tc>
        <w:tc>
          <w:tcPr>
            <w:tcW w:w="626"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(1,249,977)</w:t>
            </w:r>
          </w:p>
        </w:tc>
        <w:tc>
          <w:tcPr>
            <w:tcW w:w="641"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412,694</w:t>
            </w:r>
          </w:p>
        </w:tc>
      </w:tr>
      <w:tr w:rsidR="00960F16" w:rsidRPr="00D5469A" w:rsidTr="009168FC">
        <w:trPr>
          <w:trHeight w:val="288"/>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960F16" w:rsidRDefault="00960F16" w:rsidP="00960F16">
            <w:pPr>
              <w:jc w:val="right"/>
              <w:rPr>
                <w:szCs w:val="16"/>
              </w:rPr>
            </w:pPr>
          </w:p>
        </w:tc>
        <w:tc>
          <w:tcPr>
            <w:tcW w:w="569" w:type="pct"/>
            <w:tcBorders>
              <w:top w:val="nil"/>
              <w:left w:val="nil"/>
              <w:bottom w:val="nil"/>
              <w:right w:val="nil"/>
            </w:tcBorders>
            <w:shd w:val="clear" w:color="auto" w:fill="auto"/>
            <w:vAlign w:val="center"/>
            <w:hideMark/>
          </w:tcPr>
          <w:p w:rsidR="00960F16" w:rsidRDefault="00960F16" w:rsidP="00960F16">
            <w:pPr>
              <w:jc w:val="right"/>
              <w:rPr>
                <w:sz w:val="20"/>
              </w:rPr>
            </w:pPr>
          </w:p>
        </w:tc>
        <w:tc>
          <w:tcPr>
            <w:tcW w:w="626" w:type="pct"/>
            <w:tcBorders>
              <w:top w:val="nil"/>
              <w:left w:val="nil"/>
              <w:bottom w:val="nil"/>
              <w:right w:val="nil"/>
            </w:tcBorders>
            <w:shd w:val="clear" w:color="auto" w:fill="auto"/>
            <w:vAlign w:val="center"/>
            <w:hideMark/>
          </w:tcPr>
          <w:p w:rsidR="00960F16" w:rsidRDefault="00960F16" w:rsidP="00960F16">
            <w:pPr>
              <w:jc w:val="right"/>
              <w:rPr>
                <w:szCs w:val="16"/>
              </w:rPr>
            </w:pPr>
          </w:p>
        </w:tc>
        <w:tc>
          <w:tcPr>
            <w:tcW w:w="641" w:type="pct"/>
            <w:tcBorders>
              <w:top w:val="nil"/>
              <w:left w:val="nil"/>
              <w:bottom w:val="nil"/>
              <w:right w:val="nil"/>
            </w:tcBorders>
            <w:shd w:val="clear" w:color="auto" w:fill="auto"/>
            <w:vAlign w:val="center"/>
            <w:hideMark/>
          </w:tcPr>
          <w:p w:rsidR="00960F16" w:rsidRDefault="00960F16" w:rsidP="00960F16">
            <w:pPr>
              <w:jc w:val="right"/>
              <w:rPr>
                <w:sz w:val="20"/>
              </w:rPr>
            </w:pPr>
          </w:p>
        </w:tc>
      </w:tr>
      <w:tr w:rsidR="00960F16" w:rsidRPr="00D5469A" w:rsidTr="009168FC">
        <w:trPr>
          <w:trHeight w:val="288"/>
          <w:jc w:val="center"/>
        </w:trPr>
        <w:tc>
          <w:tcPr>
            <w:tcW w:w="2596" w:type="pct"/>
            <w:tcBorders>
              <w:top w:val="nil"/>
              <w:left w:val="nil"/>
              <w:bottom w:val="nil"/>
              <w:right w:val="nil"/>
            </w:tcBorders>
            <w:shd w:val="clear" w:color="auto" w:fill="auto"/>
            <w:vAlign w:val="center"/>
            <w:hideMark/>
          </w:tcPr>
          <w:p w:rsidR="00960F16" w:rsidRPr="000A675C" w:rsidRDefault="00960F16" w:rsidP="00960F16">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960F16" w:rsidRDefault="00960F16" w:rsidP="00960F16">
            <w:pPr>
              <w:jc w:val="right"/>
              <w:rPr>
                <w:i/>
                <w:iCs/>
                <w:szCs w:val="16"/>
              </w:rPr>
            </w:pPr>
            <w:r>
              <w:rPr>
                <w:i/>
                <w:iCs/>
                <w:szCs w:val="16"/>
              </w:rPr>
              <w:t>1,083,755</w:t>
            </w:r>
          </w:p>
        </w:tc>
        <w:tc>
          <w:tcPr>
            <w:tcW w:w="569" w:type="pct"/>
            <w:tcBorders>
              <w:top w:val="nil"/>
              <w:left w:val="nil"/>
              <w:bottom w:val="nil"/>
              <w:right w:val="nil"/>
            </w:tcBorders>
            <w:shd w:val="clear" w:color="auto" w:fill="auto"/>
            <w:vAlign w:val="center"/>
            <w:hideMark/>
          </w:tcPr>
          <w:p w:rsidR="00960F16" w:rsidRDefault="00960F16" w:rsidP="00960F16">
            <w:pPr>
              <w:jc w:val="right"/>
              <w:rPr>
                <w:i/>
                <w:iCs/>
                <w:szCs w:val="16"/>
              </w:rPr>
            </w:pPr>
            <w:r>
              <w:rPr>
                <w:i/>
                <w:iCs/>
                <w:szCs w:val="16"/>
              </w:rPr>
              <w:t>1,228,344</w:t>
            </w:r>
          </w:p>
        </w:tc>
        <w:tc>
          <w:tcPr>
            <w:tcW w:w="626" w:type="pct"/>
            <w:tcBorders>
              <w:top w:val="nil"/>
              <w:left w:val="nil"/>
              <w:bottom w:val="nil"/>
              <w:right w:val="nil"/>
            </w:tcBorders>
            <w:shd w:val="clear" w:color="auto" w:fill="auto"/>
            <w:vAlign w:val="center"/>
            <w:hideMark/>
          </w:tcPr>
          <w:p w:rsidR="00960F16" w:rsidRDefault="00960F16" w:rsidP="00960F16">
            <w:pPr>
              <w:jc w:val="right"/>
              <w:rPr>
                <w:i/>
                <w:iCs/>
                <w:szCs w:val="16"/>
              </w:rPr>
            </w:pPr>
            <w:r>
              <w:rPr>
                <w:i/>
                <w:iCs/>
                <w:szCs w:val="16"/>
              </w:rPr>
              <w:t>(47,028)</w:t>
            </w:r>
          </w:p>
        </w:tc>
        <w:tc>
          <w:tcPr>
            <w:tcW w:w="641" w:type="pct"/>
            <w:tcBorders>
              <w:top w:val="nil"/>
              <w:left w:val="nil"/>
              <w:bottom w:val="nil"/>
              <w:right w:val="nil"/>
            </w:tcBorders>
            <w:shd w:val="clear" w:color="auto" w:fill="auto"/>
            <w:vAlign w:val="center"/>
            <w:hideMark/>
          </w:tcPr>
          <w:p w:rsidR="00960F16" w:rsidRDefault="00960F16" w:rsidP="00960F16">
            <w:pPr>
              <w:jc w:val="right"/>
              <w:rPr>
                <w:i/>
                <w:iCs/>
                <w:szCs w:val="16"/>
              </w:rPr>
            </w:pPr>
            <w:r>
              <w:rPr>
                <w:i/>
                <w:iCs/>
                <w:szCs w:val="16"/>
              </w:rPr>
              <w:t>(43,952)</w:t>
            </w:r>
          </w:p>
        </w:tc>
      </w:tr>
      <w:tr w:rsidR="00960F16" w:rsidRPr="00D5469A" w:rsidTr="009168FC">
        <w:trPr>
          <w:trHeight w:val="288"/>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3,667,619</w:t>
            </w:r>
          </w:p>
        </w:tc>
        <w:tc>
          <w:tcPr>
            <w:tcW w:w="569"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6,834,161</w:t>
            </w:r>
          </w:p>
        </w:tc>
        <w:tc>
          <w:tcPr>
            <w:tcW w:w="626"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1,278,943</w:t>
            </w:r>
          </w:p>
        </w:tc>
        <w:tc>
          <w:tcPr>
            <w:tcW w:w="641"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(250,851)</w:t>
            </w:r>
          </w:p>
        </w:tc>
      </w:tr>
      <w:tr w:rsidR="00960F16" w:rsidRPr="00D5469A" w:rsidTr="009168FC">
        <w:trPr>
          <w:trHeight w:val="288"/>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960F16" w:rsidRDefault="00960F16" w:rsidP="00960F16">
            <w:pPr>
              <w:jc w:val="right"/>
              <w:rPr>
                <w:szCs w:val="16"/>
              </w:rPr>
            </w:pPr>
            <w:r>
              <w:rPr>
                <w:szCs w:val="16"/>
              </w:rPr>
              <w:t>3,671,014</w:t>
            </w:r>
          </w:p>
        </w:tc>
        <w:tc>
          <w:tcPr>
            <w:tcW w:w="569" w:type="pct"/>
            <w:tcBorders>
              <w:top w:val="nil"/>
              <w:left w:val="nil"/>
              <w:bottom w:val="nil"/>
              <w:right w:val="nil"/>
            </w:tcBorders>
            <w:shd w:val="clear" w:color="auto" w:fill="auto"/>
            <w:noWrap/>
            <w:vAlign w:val="center"/>
            <w:hideMark/>
          </w:tcPr>
          <w:p w:rsidR="00960F16" w:rsidRDefault="00960F16" w:rsidP="00960F16">
            <w:pPr>
              <w:jc w:val="right"/>
              <w:rPr>
                <w:szCs w:val="16"/>
              </w:rPr>
            </w:pPr>
            <w:r>
              <w:rPr>
                <w:szCs w:val="16"/>
              </w:rPr>
              <w:t>7,763,697</w:t>
            </w:r>
          </w:p>
        </w:tc>
        <w:tc>
          <w:tcPr>
            <w:tcW w:w="626" w:type="pct"/>
            <w:tcBorders>
              <w:top w:val="nil"/>
              <w:left w:val="nil"/>
              <w:bottom w:val="nil"/>
              <w:right w:val="nil"/>
            </w:tcBorders>
            <w:shd w:val="clear" w:color="auto" w:fill="auto"/>
            <w:noWrap/>
            <w:vAlign w:val="center"/>
            <w:hideMark/>
          </w:tcPr>
          <w:p w:rsidR="00960F16" w:rsidRDefault="00960F16" w:rsidP="00960F16">
            <w:pPr>
              <w:jc w:val="right"/>
              <w:rPr>
                <w:szCs w:val="16"/>
              </w:rPr>
            </w:pPr>
            <w:r>
              <w:rPr>
                <w:szCs w:val="16"/>
              </w:rPr>
              <w:t>1,279,156</w:t>
            </w:r>
          </w:p>
        </w:tc>
        <w:tc>
          <w:tcPr>
            <w:tcW w:w="641" w:type="pct"/>
            <w:tcBorders>
              <w:top w:val="nil"/>
              <w:left w:val="nil"/>
              <w:bottom w:val="nil"/>
              <w:right w:val="nil"/>
            </w:tcBorders>
            <w:shd w:val="clear" w:color="auto" w:fill="auto"/>
            <w:noWrap/>
            <w:vAlign w:val="center"/>
            <w:hideMark/>
          </w:tcPr>
          <w:p w:rsidR="00960F16" w:rsidRDefault="00960F16" w:rsidP="00960F16">
            <w:pPr>
              <w:jc w:val="right"/>
              <w:rPr>
                <w:szCs w:val="16"/>
              </w:rPr>
            </w:pPr>
            <w:r>
              <w:rPr>
                <w:szCs w:val="16"/>
              </w:rPr>
              <w:t>169,004</w:t>
            </w:r>
          </w:p>
        </w:tc>
      </w:tr>
      <w:tr w:rsidR="00960F16" w:rsidRPr="00D5469A" w:rsidTr="009168FC">
        <w:trPr>
          <w:trHeight w:val="288"/>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960F16" w:rsidRDefault="00960F16" w:rsidP="00960F16">
            <w:pPr>
              <w:jc w:val="right"/>
              <w:rPr>
                <w:szCs w:val="16"/>
              </w:rPr>
            </w:pPr>
            <w:r>
              <w:rPr>
                <w:szCs w:val="16"/>
              </w:rPr>
              <w:t>27,589</w:t>
            </w:r>
          </w:p>
        </w:tc>
        <w:tc>
          <w:tcPr>
            <w:tcW w:w="569" w:type="pct"/>
            <w:tcBorders>
              <w:top w:val="nil"/>
              <w:left w:val="nil"/>
              <w:bottom w:val="nil"/>
              <w:right w:val="nil"/>
            </w:tcBorders>
            <w:shd w:val="clear" w:color="auto" w:fill="auto"/>
            <w:noWrap/>
            <w:vAlign w:val="center"/>
            <w:hideMark/>
          </w:tcPr>
          <w:p w:rsidR="00960F16" w:rsidRDefault="00960F16" w:rsidP="00960F16">
            <w:pPr>
              <w:jc w:val="right"/>
              <w:rPr>
                <w:szCs w:val="16"/>
              </w:rPr>
            </w:pPr>
            <w:r>
              <w:rPr>
                <w:szCs w:val="16"/>
              </w:rPr>
              <w:t>28,200</w:t>
            </w:r>
          </w:p>
        </w:tc>
        <w:tc>
          <w:tcPr>
            <w:tcW w:w="626" w:type="pct"/>
            <w:tcBorders>
              <w:top w:val="nil"/>
              <w:left w:val="nil"/>
              <w:bottom w:val="nil"/>
              <w:right w:val="nil"/>
            </w:tcBorders>
            <w:shd w:val="clear" w:color="auto" w:fill="auto"/>
            <w:noWrap/>
            <w:vAlign w:val="center"/>
            <w:hideMark/>
          </w:tcPr>
          <w:p w:rsidR="00960F16" w:rsidRDefault="00960F16" w:rsidP="00960F16">
            <w:pPr>
              <w:jc w:val="right"/>
              <w:rPr>
                <w:szCs w:val="16"/>
              </w:rPr>
            </w:pPr>
            <w:r>
              <w:rPr>
                <w:szCs w:val="16"/>
              </w:rPr>
              <w:t>(2,672)</w:t>
            </w:r>
          </w:p>
        </w:tc>
        <w:tc>
          <w:tcPr>
            <w:tcW w:w="641" w:type="pct"/>
            <w:tcBorders>
              <w:top w:val="nil"/>
              <w:left w:val="nil"/>
              <w:bottom w:val="nil"/>
              <w:right w:val="nil"/>
            </w:tcBorders>
            <w:shd w:val="clear" w:color="auto" w:fill="auto"/>
            <w:noWrap/>
            <w:vAlign w:val="center"/>
            <w:hideMark/>
          </w:tcPr>
          <w:p w:rsidR="00960F16" w:rsidRDefault="00960F16" w:rsidP="00960F16">
            <w:pPr>
              <w:jc w:val="right"/>
              <w:rPr>
                <w:szCs w:val="16"/>
              </w:rPr>
            </w:pPr>
            <w:r>
              <w:rPr>
                <w:szCs w:val="16"/>
              </w:rPr>
              <w:t>1,452</w:t>
            </w:r>
          </w:p>
        </w:tc>
      </w:tr>
      <w:tr w:rsidR="00960F16" w:rsidRPr="00D5469A" w:rsidTr="009168FC">
        <w:trPr>
          <w:trHeight w:val="288"/>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960F16" w:rsidRDefault="00960F16" w:rsidP="00960F16">
            <w:pPr>
              <w:jc w:val="right"/>
              <w:rPr>
                <w:szCs w:val="16"/>
              </w:rPr>
            </w:pPr>
          </w:p>
        </w:tc>
        <w:tc>
          <w:tcPr>
            <w:tcW w:w="569" w:type="pct"/>
            <w:tcBorders>
              <w:top w:val="nil"/>
              <w:left w:val="nil"/>
              <w:bottom w:val="nil"/>
              <w:right w:val="nil"/>
            </w:tcBorders>
            <w:shd w:val="clear" w:color="auto" w:fill="auto"/>
            <w:vAlign w:val="center"/>
            <w:hideMark/>
          </w:tcPr>
          <w:p w:rsidR="00960F16" w:rsidRDefault="00960F16" w:rsidP="00960F16">
            <w:pPr>
              <w:jc w:val="right"/>
              <w:rPr>
                <w:sz w:val="20"/>
              </w:rPr>
            </w:pPr>
          </w:p>
        </w:tc>
        <w:tc>
          <w:tcPr>
            <w:tcW w:w="626" w:type="pct"/>
            <w:tcBorders>
              <w:top w:val="nil"/>
              <w:left w:val="nil"/>
              <w:bottom w:val="nil"/>
              <w:right w:val="nil"/>
            </w:tcBorders>
            <w:shd w:val="clear" w:color="auto" w:fill="auto"/>
            <w:vAlign w:val="center"/>
            <w:hideMark/>
          </w:tcPr>
          <w:p w:rsidR="00960F16" w:rsidRDefault="00960F16" w:rsidP="00960F16">
            <w:pPr>
              <w:jc w:val="right"/>
              <w:rPr>
                <w:szCs w:val="16"/>
              </w:rPr>
            </w:pPr>
          </w:p>
        </w:tc>
        <w:tc>
          <w:tcPr>
            <w:tcW w:w="641" w:type="pct"/>
            <w:tcBorders>
              <w:top w:val="nil"/>
              <w:left w:val="nil"/>
              <w:bottom w:val="nil"/>
              <w:right w:val="nil"/>
            </w:tcBorders>
            <w:shd w:val="clear" w:color="auto" w:fill="auto"/>
            <w:vAlign w:val="center"/>
            <w:hideMark/>
          </w:tcPr>
          <w:p w:rsidR="00960F16" w:rsidRDefault="00960F16" w:rsidP="00960F16">
            <w:pPr>
              <w:jc w:val="right"/>
              <w:rPr>
                <w:sz w:val="20"/>
              </w:rPr>
            </w:pPr>
          </w:p>
        </w:tc>
      </w:tr>
      <w:tr w:rsidR="00960F16" w:rsidRPr="00D5469A" w:rsidTr="009168FC">
        <w:trPr>
          <w:trHeight w:val="288"/>
          <w:jc w:val="center"/>
        </w:trPr>
        <w:tc>
          <w:tcPr>
            <w:tcW w:w="2596" w:type="pct"/>
            <w:tcBorders>
              <w:top w:val="nil"/>
              <w:left w:val="nil"/>
              <w:bottom w:val="nil"/>
              <w:right w:val="nil"/>
            </w:tcBorders>
            <w:shd w:val="clear" w:color="auto" w:fill="auto"/>
            <w:vAlign w:val="center"/>
            <w:hideMark/>
          </w:tcPr>
          <w:p w:rsidR="00960F16" w:rsidRPr="000A675C" w:rsidRDefault="00960F16" w:rsidP="00960F16">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960F16" w:rsidRDefault="00960F16" w:rsidP="00960F16">
            <w:pPr>
              <w:jc w:val="right"/>
              <w:rPr>
                <w:i/>
                <w:iCs/>
                <w:szCs w:val="16"/>
              </w:rPr>
            </w:pPr>
            <w:r>
              <w:rPr>
                <w:i/>
                <w:iCs/>
                <w:szCs w:val="16"/>
              </w:rPr>
              <w:t>40,546</w:t>
            </w:r>
          </w:p>
        </w:tc>
        <w:tc>
          <w:tcPr>
            <w:tcW w:w="569" w:type="pct"/>
            <w:tcBorders>
              <w:top w:val="nil"/>
              <w:left w:val="nil"/>
              <w:bottom w:val="nil"/>
              <w:right w:val="nil"/>
            </w:tcBorders>
            <w:shd w:val="clear" w:color="auto" w:fill="auto"/>
            <w:vAlign w:val="center"/>
            <w:hideMark/>
          </w:tcPr>
          <w:p w:rsidR="00960F16" w:rsidRDefault="00960F16" w:rsidP="00960F16">
            <w:pPr>
              <w:jc w:val="right"/>
              <w:rPr>
                <w:i/>
                <w:iCs/>
                <w:szCs w:val="16"/>
              </w:rPr>
            </w:pPr>
            <w:r>
              <w:rPr>
                <w:i/>
                <w:iCs/>
                <w:szCs w:val="16"/>
              </w:rPr>
              <w:t>967,305</w:t>
            </w:r>
          </w:p>
        </w:tc>
        <w:tc>
          <w:tcPr>
            <w:tcW w:w="626" w:type="pct"/>
            <w:tcBorders>
              <w:top w:val="nil"/>
              <w:left w:val="nil"/>
              <w:bottom w:val="nil"/>
              <w:right w:val="nil"/>
            </w:tcBorders>
            <w:shd w:val="clear" w:color="auto" w:fill="auto"/>
            <w:vAlign w:val="center"/>
            <w:hideMark/>
          </w:tcPr>
          <w:p w:rsidR="00960F16" w:rsidRDefault="00960F16" w:rsidP="00960F16">
            <w:pPr>
              <w:jc w:val="right"/>
              <w:rPr>
                <w:i/>
                <w:iCs/>
                <w:szCs w:val="16"/>
              </w:rPr>
            </w:pPr>
            <w:r>
              <w:rPr>
                <w:i/>
                <w:iCs/>
                <w:szCs w:val="16"/>
              </w:rPr>
              <w:t>(2,459)</w:t>
            </w:r>
          </w:p>
        </w:tc>
        <w:tc>
          <w:tcPr>
            <w:tcW w:w="641" w:type="pct"/>
            <w:tcBorders>
              <w:top w:val="nil"/>
              <w:left w:val="nil"/>
              <w:bottom w:val="nil"/>
              <w:right w:val="nil"/>
            </w:tcBorders>
            <w:shd w:val="clear" w:color="auto" w:fill="auto"/>
            <w:vAlign w:val="center"/>
            <w:hideMark/>
          </w:tcPr>
          <w:p w:rsidR="00960F16" w:rsidRDefault="00960F16" w:rsidP="00960F16">
            <w:pPr>
              <w:jc w:val="right"/>
              <w:rPr>
                <w:i/>
                <w:iCs/>
                <w:szCs w:val="16"/>
              </w:rPr>
            </w:pPr>
            <w:r>
              <w:rPr>
                <w:i/>
                <w:iCs/>
                <w:szCs w:val="16"/>
              </w:rPr>
              <w:t>421,307</w:t>
            </w:r>
          </w:p>
        </w:tc>
      </w:tr>
      <w:tr w:rsidR="00960F16" w:rsidRPr="00D5469A" w:rsidTr="009168FC">
        <w:trPr>
          <w:trHeight w:val="288"/>
          <w:jc w:val="center"/>
        </w:trPr>
        <w:tc>
          <w:tcPr>
            <w:tcW w:w="2596" w:type="pct"/>
            <w:tcBorders>
              <w:top w:val="nil"/>
              <w:left w:val="nil"/>
              <w:bottom w:val="nil"/>
              <w:right w:val="nil"/>
            </w:tcBorders>
            <w:shd w:val="clear" w:color="auto" w:fill="auto"/>
            <w:vAlign w:val="center"/>
            <w:hideMark/>
          </w:tcPr>
          <w:p w:rsidR="00960F16" w:rsidRPr="000A675C" w:rsidRDefault="00960F16" w:rsidP="00960F16">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960F16" w:rsidRDefault="00960F16" w:rsidP="00960F16">
            <w:pPr>
              <w:jc w:val="right"/>
              <w:rPr>
                <w:i/>
                <w:iCs/>
                <w:szCs w:val="16"/>
              </w:rPr>
            </w:pPr>
            <w:r>
              <w:rPr>
                <w:i/>
                <w:iCs/>
                <w:szCs w:val="16"/>
              </w:rPr>
              <w:t>(9,562)</w:t>
            </w:r>
          </w:p>
        </w:tc>
        <w:tc>
          <w:tcPr>
            <w:tcW w:w="569" w:type="pct"/>
            <w:tcBorders>
              <w:top w:val="nil"/>
              <w:left w:val="nil"/>
              <w:bottom w:val="nil"/>
              <w:right w:val="nil"/>
            </w:tcBorders>
            <w:shd w:val="clear" w:color="auto" w:fill="auto"/>
            <w:vAlign w:val="center"/>
            <w:hideMark/>
          </w:tcPr>
          <w:p w:rsidR="00960F16" w:rsidRDefault="00960F16" w:rsidP="00960F16">
            <w:pPr>
              <w:jc w:val="right"/>
              <w:rPr>
                <w:i/>
                <w:iCs/>
                <w:szCs w:val="16"/>
              </w:rPr>
            </w:pPr>
            <w:r>
              <w:rPr>
                <w:i/>
                <w:iCs/>
                <w:szCs w:val="16"/>
              </w:rPr>
              <w:t>(9,569)</w:t>
            </w:r>
          </w:p>
        </w:tc>
        <w:tc>
          <w:tcPr>
            <w:tcW w:w="626" w:type="pct"/>
            <w:tcBorders>
              <w:top w:val="nil"/>
              <w:left w:val="nil"/>
              <w:bottom w:val="nil"/>
              <w:right w:val="nil"/>
            </w:tcBorders>
            <w:shd w:val="clear" w:color="auto" w:fill="auto"/>
            <w:vAlign w:val="center"/>
            <w:hideMark/>
          </w:tcPr>
          <w:p w:rsidR="00960F16" w:rsidRDefault="00960F16" w:rsidP="00960F16">
            <w:pPr>
              <w:jc w:val="right"/>
              <w:rPr>
                <w:i/>
                <w:iCs/>
                <w:szCs w:val="16"/>
              </w:rPr>
            </w:pPr>
            <w:r>
              <w:rPr>
                <w:i/>
                <w:iCs/>
                <w:szCs w:val="16"/>
              </w:rPr>
              <w:t>(..)</w:t>
            </w:r>
          </w:p>
        </w:tc>
        <w:tc>
          <w:tcPr>
            <w:tcW w:w="641" w:type="pct"/>
            <w:tcBorders>
              <w:top w:val="nil"/>
              <w:left w:val="nil"/>
              <w:bottom w:val="nil"/>
              <w:right w:val="nil"/>
            </w:tcBorders>
            <w:shd w:val="clear" w:color="auto" w:fill="auto"/>
            <w:vAlign w:val="center"/>
            <w:hideMark/>
          </w:tcPr>
          <w:p w:rsidR="00960F16" w:rsidRDefault="00960F16" w:rsidP="00960F16">
            <w:pPr>
              <w:jc w:val="right"/>
              <w:rPr>
                <w:i/>
                <w:iCs/>
                <w:szCs w:val="16"/>
              </w:rPr>
            </w:pPr>
            <w:r>
              <w:rPr>
                <w:i/>
                <w:iCs/>
                <w:szCs w:val="16"/>
              </w:rPr>
              <w:t>(..)</w:t>
            </w:r>
          </w:p>
        </w:tc>
      </w:tr>
      <w:tr w:rsidR="00960F16" w:rsidRPr="00D5469A" w:rsidTr="009168FC">
        <w:trPr>
          <w:trHeight w:val="288"/>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jc w:val="left"/>
              <w:rPr>
                <w:b/>
                <w:bCs/>
                <w:color w:val="auto"/>
                <w:sz w:val="18"/>
                <w:szCs w:val="18"/>
              </w:rPr>
            </w:pPr>
            <w:r w:rsidRPr="00D5469A">
              <w:rPr>
                <w:b/>
                <w:bCs/>
                <w:color w:val="auto"/>
                <w:sz w:val="18"/>
                <w:szCs w:val="18"/>
              </w:rPr>
              <w:t>2. Provincial Governments (c+d)</w:t>
            </w:r>
          </w:p>
        </w:tc>
        <w:tc>
          <w:tcPr>
            <w:tcW w:w="568" w:type="pct"/>
            <w:tcBorders>
              <w:top w:val="nil"/>
              <w:left w:val="nil"/>
              <w:bottom w:val="nil"/>
              <w:right w:val="nil"/>
            </w:tcBorders>
            <w:shd w:val="clear" w:color="auto" w:fill="auto"/>
            <w:vAlign w:val="center"/>
            <w:hideMark/>
          </w:tcPr>
          <w:p w:rsidR="00960F16" w:rsidRDefault="00960F16" w:rsidP="00960F16">
            <w:pPr>
              <w:jc w:val="right"/>
              <w:rPr>
                <w:b/>
                <w:bCs/>
                <w:szCs w:val="16"/>
              </w:rPr>
            </w:pPr>
            <w:r>
              <w:rPr>
                <w:b/>
                <w:bCs/>
                <w:szCs w:val="16"/>
              </w:rPr>
              <w:t>(798,077)</w:t>
            </w:r>
          </w:p>
        </w:tc>
        <w:tc>
          <w:tcPr>
            <w:tcW w:w="569" w:type="pct"/>
            <w:tcBorders>
              <w:top w:val="nil"/>
              <w:left w:val="nil"/>
              <w:bottom w:val="nil"/>
              <w:right w:val="nil"/>
            </w:tcBorders>
            <w:shd w:val="clear" w:color="auto" w:fill="auto"/>
            <w:vAlign w:val="center"/>
            <w:hideMark/>
          </w:tcPr>
          <w:p w:rsidR="00960F16" w:rsidRDefault="00960F16" w:rsidP="00960F16">
            <w:pPr>
              <w:jc w:val="right"/>
              <w:rPr>
                <w:b/>
                <w:bCs/>
                <w:szCs w:val="16"/>
              </w:rPr>
            </w:pPr>
            <w:r>
              <w:rPr>
                <w:b/>
                <w:bCs/>
                <w:szCs w:val="16"/>
              </w:rPr>
              <w:t>(990,484)</w:t>
            </w:r>
          </w:p>
        </w:tc>
        <w:tc>
          <w:tcPr>
            <w:tcW w:w="626" w:type="pct"/>
            <w:tcBorders>
              <w:top w:val="nil"/>
              <w:left w:val="nil"/>
              <w:bottom w:val="nil"/>
              <w:right w:val="nil"/>
            </w:tcBorders>
            <w:shd w:val="clear" w:color="auto" w:fill="auto"/>
            <w:vAlign w:val="center"/>
            <w:hideMark/>
          </w:tcPr>
          <w:p w:rsidR="00960F16" w:rsidRDefault="00960F16" w:rsidP="00960F16">
            <w:pPr>
              <w:jc w:val="right"/>
              <w:rPr>
                <w:b/>
                <w:bCs/>
                <w:szCs w:val="16"/>
              </w:rPr>
            </w:pPr>
            <w:r>
              <w:rPr>
                <w:b/>
                <w:bCs/>
                <w:szCs w:val="16"/>
              </w:rPr>
              <w:t>(163,865)</w:t>
            </w:r>
          </w:p>
        </w:tc>
        <w:tc>
          <w:tcPr>
            <w:tcW w:w="641" w:type="pct"/>
            <w:tcBorders>
              <w:top w:val="nil"/>
              <w:left w:val="nil"/>
              <w:bottom w:val="nil"/>
              <w:right w:val="nil"/>
            </w:tcBorders>
            <w:shd w:val="clear" w:color="auto" w:fill="auto"/>
            <w:vAlign w:val="center"/>
            <w:hideMark/>
          </w:tcPr>
          <w:p w:rsidR="00960F16" w:rsidRDefault="00960F16" w:rsidP="00960F16">
            <w:pPr>
              <w:jc w:val="right"/>
              <w:rPr>
                <w:b/>
                <w:bCs/>
                <w:szCs w:val="16"/>
              </w:rPr>
            </w:pPr>
            <w:r>
              <w:rPr>
                <w:b/>
                <w:bCs/>
                <w:szCs w:val="16"/>
              </w:rPr>
              <w:t>(144,292)</w:t>
            </w:r>
          </w:p>
        </w:tc>
      </w:tr>
      <w:tr w:rsidR="00960F16" w:rsidRPr="00D5469A" w:rsidTr="009168FC">
        <w:trPr>
          <w:trHeight w:val="288"/>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(743,864)</w:t>
            </w:r>
          </w:p>
        </w:tc>
        <w:tc>
          <w:tcPr>
            <w:tcW w:w="569"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(849,079)</w:t>
            </w:r>
          </w:p>
        </w:tc>
        <w:tc>
          <w:tcPr>
            <w:tcW w:w="626"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19,870</w:t>
            </w:r>
          </w:p>
        </w:tc>
        <w:tc>
          <w:tcPr>
            <w:tcW w:w="641"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35,294</w:t>
            </w:r>
          </w:p>
        </w:tc>
      </w:tr>
      <w:tr w:rsidR="00960F16" w:rsidRPr="00D5469A" w:rsidTr="009168FC">
        <w:trPr>
          <w:trHeight w:val="288"/>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r>
      <w:tr w:rsidR="00960F16" w:rsidRPr="00D5469A" w:rsidTr="009168FC">
        <w:trPr>
          <w:trHeight w:val="288"/>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960F16" w:rsidRDefault="00960F16" w:rsidP="00960F16">
            <w:pPr>
              <w:jc w:val="right"/>
              <w:rPr>
                <w:szCs w:val="16"/>
              </w:rPr>
            </w:pPr>
          </w:p>
        </w:tc>
        <w:tc>
          <w:tcPr>
            <w:tcW w:w="569" w:type="pct"/>
            <w:tcBorders>
              <w:top w:val="nil"/>
              <w:left w:val="nil"/>
              <w:bottom w:val="nil"/>
              <w:right w:val="nil"/>
            </w:tcBorders>
            <w:shd w:val="clear" w:color="auto" w:fill="auto"/>
            <w:vAlign w:val="center"/>
            <w:hideMark/>
          </w:tcPr>
          <w:p w:rsidR="00960F16" w:rsidRDefault="00960F16" w:rsidP="00960F16">
            <w:pPr>
              <w:jc w:val="right"/>
              <w:rPr>
                <w:sz w:val="20"/>
              </w:rPr>
            </w:pPr>
          </w:p>
        </w:tc>
        <w:tc>
          <w:tcPr>
            <w:tcW w:w="626" w:type="pct"/>
            <w:tcBorders>
              <w:top w:val="nil"/>
              <w:left w:val="nil"/>
              <w:bottom w:val="nil"/>
              <w:right w:val="nil"/>
            </w:tcBorders>
            <w:shd w:val="clear" w:color="auto" w:fill="auto"/>
            <w:vAlign w:val="center"/>
            <w:hideMark/>
          </w:tcPr>
          <w:p w:rsidR="00960F16" w:rsidRDefault="00960F16" w:rsidP="00960F16">
            <w:pPr>
              <w:jc w:val="right"/>
              <w:rPr>
                <w:szCs w:val="16"/>
              </w:rPr>
            </w:pPr>
          </w:p>
        </w:tc>
        <w:tc>
          <w:tcPr>
            <w:tcW w:w="641" w:type="pct"/>
            <w:tcBorders>
              <w:top w:val="nil"/>
              <w:left w:val="nil"/>
              <w:bottom w:val="nil"/>
              <w:right w:val="nil"/>
            </w:tcBorders>
            <w:shd w:val="clear" w:color="auto" w:fill="auto"/>
            <w:vAlign w:val="center"/>
            <w:hideMark/>
          </w:tcPr>
          <w:p w:rsidR="00960F16" w:rsidRDefault="00960F16" w:rsidP="00960F16">
            <w:pPr>
              <w:jc w:val="right"/>
              <w:rPr>
                <w:sz w:val="20"/>
              </w:rPr>
            </w:pPr>
          </w:p>
        </w:tc>
      </w:tr>
      <w:tr w:rsidR="00960F16" w:rsidRPr="00D5469A" w:rsidTr="009168FC">
        <w:trPr>
          <w:trHeight w:val="288"/>
          <w:jc w:val="center"/>
        </w:trPr>
        <w:tc>
          <w:tcPr>
            <w:tcW w:w="2596" w:type="pct"/>
            <w:tcBorders>
              <w:top w:val="nil"/>
              <w:left w:val="nil"/>
              <w:bottom w:val="nil"/>
              <w:right w:val="nil"/>
            </w:tcBorders>
            <w:shd w:val="clear" w:color="auto" w:fill="auto"/>
            <w:vAlign w:val="center"/>
            <w:hideMark/>
          </w:tcPr>
          <w:p w:rsidR="00960F16" w:rsidRPr="000A675C" w:rsidRDefault="00960F16" w:rsidP="00960F16">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960F16" w:rsidRDefault="00960F16" w:rsidP="00960F16">
            <w:pPr>
              <w:jc w:val="right"/>
              <w:rPr>
                <w:i/>
                <w:iCs/>
                <w:szCs w:val="16"/>
              </w:rPr>
            </w:pPr>
            <w:r>
              <w:rPr>
                <w:i/>
                <w:iCs/>
                <w:szCs w:val="16"/>
              </w:rPr>
              <w:t>744,888</w:t>
            </w:r>
          </w:p>
        </w:tc>
        <w:tc>
          <w:tcPr>
            <w:tcW w:w="569" w:type="pct"/>
            <w:tcBorders>
              <w:top w:val="nil"/>
              <w:left w:val="nil"/>
              <w:bottom w:val="nil"/>
              <w:right w:val="nil"/>
            </w:tcBorders>
            <w:shd w:val="clear" w:color="auto" w:fill="auto"/>
            <w:vAlign w:val="center"/>
            <w:hideMark/>
          </w:tcPr>
          <w:p w:rsidR="00960F16" w:rsidRDefault="00960F16" w:rsidP="00960F16">
            <w:pPr>
              <w:jc w:val="right"/>
              <w:rPr>
                <w:i/>
                <w:iCs/>
                <w:szCs w:val="16"/>
              </w:rPr>
            </w:pPr>
            <w:r>
              <w:rPr>
                <w:i/>
                <w:iCs/>
                <w:szCs w:val="16"/>
              </w:rPr>
              <w:t>850,103</w:t>
            </w:r>
          </w:p>
        </w:tc>
        <w:tc>
          <w:tcPr>
            <w:tcW w:w="626" w:type="pct"/>
            <w:tcBorders>
              <w:top w:val="nil"/>
              <w:left w:val="nil"/>
              <w:bottom w:val="nil"/>
              <w:right w:val="nil"/>
            </w:tcBorders>
            <w:shd w:val="clear" w:color="auto" w:fill="auto"/>
            <w:vAlign w:val="center"/>
            <w:hideMark/>
          </w:tcPr>
          <w:p w:rsidR="00960F16" w:rsidRDefault="00960F16" w:rsidP="00960F16">
            <w:pPr>
              <w:jc w:val="right"/>
              <w:rPr>
                <w:i/>
                <w:iCs/>
                <w:szCs w:val="16"/>
              </w:rPr>
            </w:pPr>
            <w:r>
              <w:rPr>
                <w:i/>
                <w:iCs/>
                <w:szCs w:val="16"/>
              </w:rPr>
              <w:t>(19,870)</w:t>
            </w:r>
          </w:p>
        </w:tc>
        <w:tc>
          <w:tcPr>
            <w:tcW w:w="641" w:type="pct"/>
            <w:tcBorders>
              <w:top w:val="nil"/>
              <w:left w:val="nil"/>
              <w:bottom w:val="nil"/>
              <w:right w:val="nil"/>
            </w:tcBorders>
            <w:shd w:val="clear" w:color="auto" w:fill="auto"/>
            <w:vAlign w:val="center"/>
            <w:hideMark/>
          </w:tcPr>
          <w:p w:rsidR="00960F16" w:rsidRDefault="00960F16" w:rsidP="00960F16">
            <w:pPr>
              <w:jc w:val="right"/>
              <w:rPr>
                <w:i/>
                <w:iCs/>
                <w:szCs w:val="16"/>
              </w:rPr>
            </w:pPr>
            <w:r>
              <w:rPr>
                <w:i/>
                <w:iCs/>
                <w:szCs w:val="16"/>
              </w:rPr>
              <w:t>(35,294)</w:t>
            </w:r>
          </w:p>
        </w:tc>
      </w:tr>
      <w:tr w:rsidR="00960F16" w:rsidRPr="00D5469A" w:rsidTr="009168FC">
        <w:trPr>
          <w:trHeight w:val="288"/>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(54,213)</w:t>
            </w:r>
          </w:p>
        </w:tc>
        <w:tc>
          <w:tcPr>
            <w:tcW w:w="569"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(141,405)</w:t>
            </w:r>
          </w:p>
        </w:tc>
        <w:tc>
          <w:tcPr>
            <w:tcW w:w="626"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(183,735)</w:t>
            </w:r>
          </w:p>
        </w:tc>
        <w:tc>
          <w:tcPr>
            <w:tcW w:w="641"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(179,586)</w:t>
            </w:r>
          </w:p>
        </w:tc>
      </w:tr>
      <w:tr w:rsidR="00960F16" w:rsidRPr="00D5469A" w:rsidTr="009168FC">
        <w:trPr>
          <w:trHeight w:val="288"/>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960F16" w:rsidRDefault="00960F16" w:rsidP="00960F16">
            <w:pPr>
              <w:jc w:val="right"/>
              <w:rPr>
                <w:szCs w:val="16"/>
              </w:rPr>
            </w:pPr>
          </w:p>
        </w:tc>
        <w:tc>
          <w:tcPr>
            <w:tcW w:w="569" w:type="pct"/>
            <w:tcBorders>
              <w:top w:val="nil"/>
              <w:left w:val="nil"/>
              <w:bottom w:val="nil"/>
              <w:right w:val="nil"/>
            </w:tcBorders>
            <w:shd w:val="clear" w:color="auto" w:fill="auto"/>
            <w:noWrap/>
            <w:vAlign w:val="center"/>
            <w:hideMark/>
          </w:tcPr>
          <w:p w:rsidR="00960F16" w:rsidRDefault="00960F16" w:rsidP="00960F16">
            <w:pPr>
              <w:jc w:val="right"/>
              <w:rPr>
                <w:sz w:val="20"/>
              </w:rPr>
            </w:pPr>
          </w:p>
        </w:tc>
        <w:tc>
          <w:tcPr>
            <w:tcW w:w="626" w:type="pct"/>
            <w:tcBorders>
              <w:top w:val="nil"/>
              <w:left w:val="nil"/>
              <w:bottom w:val="nil"/>
              <w:right w:val="nil"/>
            </w:tcBorders>
            <w:shd w:val="clear" w:color="auto" w:fill="auto"/>
            <w:noWrap/>
            <w:vAlign w:val="center"/>
            <w:hideMark/>
          </w:tcPr>
          <w:p w:rsidR="00960F16" w:rsidRDefault="00960F16" w:rsidP="00960F16">
            <w:pPr>
              <w:jc w:val="right"/>
              <w:rPr>
                <w:szCs w:val="16"/>
              </w:rPr>
            </w:pPr>
          </w:p>
        </w:tc>
        <w:tc>
          <w:tcPr>
            <w:tcW w:w="641" w:type="pct"/>
            <w:tcBorders>
              <w:top w:val="nil"/>
              <w:left w:val="nil"/>
              <w:bottom w:val="nil"/>
              <w:right w:val="nil"/>
            </w:tcBorders>
            <w:shd w:val="clear" w:color="auto" w:fill="auto"/>
            <w:noWrap/>
            <w:vAlign w:val="center"/>
            <w:hideMark/>
          </w:tcPr>
          <w:p w:rsidR="00960F16" w:rsidRDefault="00960F16" w:rsidP="00960F16">
            <w:pPr>
              <w:jc w:val="right"/>
              <w:rPr>
                <w:sz w:val="20"/>
              </w:rPr>
            </w:pPr>
          </w:p>
        </w:tc>
      </w:tr>
      <w:tr w:rsidR="00960F16" w:rsidRPr="00D5469A" w:rsidTr="009168FC">
        <w:trPr>
          <w:trHeight w:val="288"/>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5,515</w:t>
            </w:r>
          </w:p>
        </w:tc>
        <w:tc>
          <w:tcPr>
            <w:tcW w:w="569"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(4,682)</w:t>
            </w:r>
          </w:p>
        </w:tc>
        <w:tc>
          <w:tcPr>
            <w:tcW w:w="641"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r>
      <w:tr w:rsidR="00960F16" w:rsidRPr="00D5469A" w:rsidTr="009168FC">
        <w:trPr>
          <w:trHeight w:val="288"/>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960F16" w:rsidRDefault="00960F16" w:rsidP="00960F16">
            <w:pPr>
              <w:jc w:val="right"/>
              <w:rPr>
                <w:szCs w:val="16"/>
              </w:rPr>
            </w:pPr>
          </w:p>
        </w:tc>
        <w:tc>
          <w:tcPr>
            <w:tcW w:w="569" w:type="pct"/>
            <w:tcBorders>
              <w:top w:val="nil"/>
              <w:left w:val="nil"/>
              <w:bottom w:val="nil"/>
              <w:right w:val="nil"/>
            </w:tcBorders>
            <w:shd w:val="clear" w:color="auto" w:fill="auto"/>
            <w:noWrap/>
            <w:vAlign w:val="center"/>
            <w:hideMark/>
          </w:tcPr>
          <w:p w:rsidR="00960F16" w:rsidRDefault="00960F16" w:rsidP="00960F16">
            <w:pPr>
              <w:jc w:val="right"/>
              <w:rPr>
                <w:sz w:val="20"/>
              </w:rPr>
            </w:pPr>
          </w:p>
        </w:tc>
        <w:tc>
          <w:tcPr>
            <w:tcW w:w="626" w:type="pct"/>
            <w:tcBorders>
              <w:top w:val="nil"/>
              <w:left w:val="nil"/>
              <w:bottom w:val="nil"/>
              <w:right w:val="nil"/>
            </w:tcBorders>
            <w:shd w:val="clear" w:color="auto" w:fill="auto"/>
            <w:noWrap/>
            <w:vAlign w:val="center"/>
            <w:hideMark/>
          </w:tcPr>
          <w:p w:rsidR="00960F16" w:rsidRDefault="00960F16" w:rsidP="00960F16">
            <w:pPr>
              <w:jc w:val="right"/>
              <w:rPr>
                <w:szCs w:val="16"/>
              </w:rPr>
            </w:pPr>
          </w:p>
        </w:tc>
        <w:tc>
          <w:tcPr>
            <w:tcW w:w="641" w:type="pct"/>
            <w:tcBorders>
              <w:top w:val="nil"/>
              <w:left w:val="nil"/>
              <w:bottom w:val="nil"/>
              <w:right w:val="nil"/>
            </w:tcBorders>
            <w:shd w:val="clear" w:color="auto" w:fill="auto"/>
            <w:noWrap/>
            <w:vAlign w:val="center"/>
            <w:hideMark/>
          </w:tcPr>
          <w:p w:rsidR="00960F16" w:rsidRDefault="00960F16" w:rsidP="00960F16">
            <w:pPr>
              <w:jc w:val="right"/>
              <w:rPr>
                <w:sz w:val="20"/>
              </w:rPr>
            </w:pPr>
          </w:p>
        </w:tc>
      </w:tr>
      <w:tr w:rsidR="00960F16" w:rsidRPr="00D5469A" w:rsidTr="009168FC">
        <w:trPr>
          <w:trHeight w:val="288"/>
          <w:jc w:val="center"/>
        </w:trPr>
        <w:tc>
          <w:tcPr>
            <w:tcW w:w="2596" w:type="pct"/>
            <w:tcBorders>
              <w:top w:val="nil"/>
              <w:left w:val="nil"/>
              <w:bottom w:val="single" w:sz="12" w:space="0" w:color="auto"/>
              <w:right w:val="nil"/>
            </w:tcBorders>
            <w:shd w:val="clear" w:color="auto" w:fill="auto"/>
            <w:vAlign w:val="center"/>
            <w:hideMark/>
          </w:tcPr>
          <w:p w:rsidR="00960F16" w:rsidRPr="000A675C" w:rsidRDefault="00960F16" w:rsidP="00960F16">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960F16" w:rsidRDefault="00960F16" w:rsidP="00960F16">
            <w:pPr>
              <w:jc w:val="right"/>
              <w:rPr>
                <w:i/>
                <w:iCs/>
                <w:szCs w:val="16"/>
              </w:rPr>
            </w:pPr>
            <w:r>
              <w:rPr>
                <w:i/>
                <w:iCs/>
                <w:szCs w:val="16"/>
              </w:rPr>
              <w:t>59,728</w:t>
            </w:r>
          </w:p>
        </w:tc>
        <w:tc>
          <w:tcPr>
            <w:tcW w:w="569" w:type="pct"/>
            <w:tcBorders>
              <w:top w:val="nil"/>
              <w:left w:val="nil"/>
              <w:bottom w:val="single" w:sz="12" w:space="0" w:color="auto"/>
              <w:right w:val="nil"/>
            </w:tcBorders>
            <w:shd w:val="clear" w:color="auto" w:fill="auto"/>
            <w:vAlign w:val="center"/>
            <w:hideMark/>
          </w:tcPr>
          <w:p w:rsidR="00960F16" w:rsidRDefault="00960F16" w:rsidP="00960F16">
            <w:pPr>
              <w:jc w:val="right"/>
              <w:rPr>
                <w:i/>
                <w:iCs/>
                <w:szCs w:val="16"/>
              </w:rPr>
            </w:pPr>
            <w:r>
              <w:rPr>
                <w:i/>
                <w:iCs/>
                <w:szCs w:val="16"/>
              </w:rPr>
              <w:t>141,405</w:t>
            </w:r>
          </w:p>
        </w:tc>
        <w:tc>
          <w:tcPr>
            <w:tcW w:w="626" w:type="pct"/>
            <w:tcBorders>
              <w:top w:val="nil"/>
              <w:left w:val="nil"/>
              <w:bottom w:val="single" w:sz="12" w:space="0" w:color="auto"/>
              <w:right w:val="nil"/>
            </w:tcBorders>
            <w:shd w:val="clear" w:color="auto" w:fill="auto"/>
            <w:vAlign w:val="center"/>
            <w:hideMark/>
          </w:tcPr>
          <w:p w:rsidR="00960F16" w:rsidRDefault="00960F16" w:rsidP="00960F16">
            <w:pPr>
              <w:jc w:val="right"/>
              <w:rPr>
                <w:i/>
                <w:iCs/>
                <w:szCs w:val="16"/>
              </w:rPr>
            </w:pPr>
            <w:r>
              <w:rPr>
                <w:i/>
                <w:iCs/>
                <w:szCs w:val="16"/>
              </w:rPr>
              <w:t>179,053</w:t>
            </w:r>
          </w:p>
        </w:tc>
        <w:tc>
          <w:tcPr>
            <w:tcW w:w="641" w:type="pct"/>
            <w:tcBorders>
              <w:top w:val="nil"/>
              <w:left w:val="nil"/>
              <w:bottom w:val="single" w:sz="12" w:space="0" w:color="auto"/>
              <w:right w:val="nil"/>
            </w:tcBorders>
            <w:shd w:val="clear" w:color="auto" w:fill="auto"/>
            <w:vAlign w:val="center"/>
            <w:hideMark/>
          </w:tcPr>
          <w:p w:rsidR="00960F16" w:rsidRDefault="00960F16" w:rsidP="00960F16">
            <w:pPr>
              <w:jc w:val="right"/>
              <w:rPr>
                <w:i/>
                <w:iCs/>
                <w:szCs w:val="16"/>
              </w:rPr>
            </w:pPr>
            <w:r>
              <w:rPr>
                <w:i/>
                <w:iCs/>
                <w:szCs w:val="16"/>
              </w:rPr>
              <w:t>179,586</w:t>
            </w:r>
          </w:p>
        </w:tc>
      </w:tr>
      <w:tr w:rsidR="00960F16" w:rsidRPr="00D5469A" w:rsidTr="009168FC">
        <w:trPr>
          <w:trHeight w:val="288"/>
          <w:jc w:val="center"/>
        </w:trPr>
        <w:tc>
          <w:tcPr>
            <w:tcW w:w="2596" w:type="pct"/>
            <w:tcBorders>
              <w:top w:val="single" w:sz="12" w:space="0" w:color="auto"/>
              <w:left w:val="nil"/>
              <w:bottom w:val="single" w:sz="12" w:space="0" w:color="auto"/>
              <w:right w:val="nil"/>
            </w:tcBorders>
            <w:shd w:val="clear" w:color="auto" w:fill="auto"/>
            <w:vAlign w:val="center"/>
            <w:hideMark/>
          </w:tcPr>
          <w:p w:rsidR="00960F16" w:rsidRPr="00D5469A" w:rsidRDefault="00960F16" w:rsidP="00960F16">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960F16" w:rsidRDefault="00960F16" w:rsidP="00960F16">
            <w:pPr>
              <w:jc w:val="right"/>
              <w:rPr>
                <w:b/>
                <w:bCs/>
                <w:szCs w:val="16"/>
              </w:rPr>
            </w:pPr>
            <w:r>
              <w:rPr>
                <w:b/>
                <w:bCs/>
                <w:szCs w:val="16"/>
              </w:rPr>
              <w:t>9,392,960</w:t>
            </w:r>
          </w:p>
        </w:tc>
        <w:tc>
          <w:tcPr>
            <w:tcW w:w="569" w:type="pct"/>
            <w:tcBorders>
              <w:top w:val="single" w:sz="12" w:space="0" w:color="auto"/>
              <w:left w:val="nil"/>
              <w:bottom w:val="single" w:sz="12" w:space="0" w:color="auto"/>
              <w:right w:val="nil"/>
            </w:tcBorders>
            <w:shd w:val="clear" w:color="auto" w:fill="auto"/>
            <w:vAlign w:val="center"/>
            <w:hideMark/>
          </w:tcPr>
          <w:p w:rsidR="00960F16" w:rsidRDefault="00960F16" w:rsidP="00960F16">
            <w:pPr>
              <w:jc w:val="right"/>
              <w:rPr>
                <w:b/>
                <w:bCs/>
                <w:szCs w:val="16"/>
              </w:rPr>
            </w:pPr>
            <w:r>
              <w:rPr>
                <w:b/>
                <w:bCs/>
                <w:szCs w:val="16"/>
              </w:rPr>
              <w:t>11,597,353</w:t>
            </w:r>
          </w:p>
        </w:tc>
        <w:tc>
          <w:tcPr>
            <w:tcW w:w="626" w:type="pct"/>
            <w:tcBorders>
              <w:top w:val="single" w:sz="12" w:space="0" w:color="auto"/>
              <w:left w:val="nil"/>
              <w:bottom w:val="single" w:sz="12" w:space="0" w:color="auto"/>
              <w:right w:val="nil"/>
            </w:tcBorders>
            <w:shd w:val="clear" w:color="auto" w:fill="auto"/>
            <w:vAlign w:val="center"/>
            <w:hideMark/>
          </w:tcPr>
          <w:p w:rsidR="00960F16" w:rsidRDefault="00960F16" w:rsidP="00960F16">
            <w:pPr>
              <w:jc w:val="right"/>
              <w:rPr>
                <w:b/>
                <w:bCs/>
                <w:szCs w:val="16"/>
              </w:rPr>
            </w:pPr>
            <w:r>
              <w:rPr>
                <w:b/>
                <w:bCs/>
                <w:szCs w:val="16"/>
              </w:rPr>
              <w:t>(87,870)</w:t>
            </w:r>
          </w:p>
        </w:tc>
        <w:tc>
          <w:tcPr>
            <w:tcW w:w="641" w:type="pct"/>
            <w:tcBorders>
              <w:top w:val="single" w:sz="12" w:space="0" w:color="auto"/>
              <w:left w:val="nil"/>
              <w:bottom w:val="single" w:sz="12" w:space="0" w:color="auto"/>
              <w:right w:val="nil"/>
            </w:tcBorders>
            <w:shd w:val="clear" w:color="auto" w:fill="auto"/>
            <w:vAlign w:val="center"/>
            <w:hideMark/>
          </w:tcPr>
          <w:p w:rsidR="00960F16" w:rsidRDefault="00960F16" w:rsidP="00960F16">
            <w:pPr>
              <w:jc w:val="right"/>
              <w:rPr>
                <w:b/>
                <w:bCs/>
                <w:szCs w:val="16"/>
              </w:rPr>
            </w:pPr>
            <w:r>
              <w:rPr>
                <w:b/>
                <w:bCs/>
                <w:szCs w:val="16"/>
              </w:rPr>
              <w:t>61,504</w:t>
            </w:r>
          </w:p>
        </w:tc>
      </w:tr>
      <w:tr w:rsidR="00E07EFE" w:rsidRPr="00D5469A" w:rsidTr="00114997">
        <w:trPr>
          <w:trHeight w:val="357"/>
          <w:jc w:val="center"/>
        </w:trPr>
        <w:tc>
          <w:tcPr>
            <w:tcW w:w="5000" w:type="pct"/>
            <w:gridSpan w:val="5"/>
            <w:tcBorders>
              <w:top w:val="nil"/>
              <w:left w:val="nil"/>
              <w:bottom w:val="nil"/>
              <w:right w:val="nil"/>
            </w:tcBorders>
            <w:shd w:val="clear" w:color="auto" w:fill="auto"/>
            <w:vAlign w:val="center"/>
            <w:hideMark/>
          </w:tcPr>
          <w:p w:rsidR="00E07EFE" w:rsidRPr="00114997" w:rsidRDefault="00114997" w:rsidP="00114997">
            <w:pPr>
              <w:jc w:val="left"/>
              <w:rPr>
                <w:color w:val="auto"/>
                <w:sz w:val="14"/>
                <w:szCs w:val="14"/>
              </w:rPr>
            </w:pPr>
            <w:r>
              <w:rPr>
                <w:color w:val="auto"/>
                <w:sz w:val="14"/>
                <w:szCs w:val="14"/>
              </w:rPr>
              <w:t xml:space="preserve">Note;- </w:t>
            </w:r>
            <w:r w:rsidRPr="007114E7">
              <w:rPr>
                <w:color w:val="auto"/>
                <w:sz w:val="14"/>
                <w:szCs w:val="14"/>
              </w:rPr>
              <w:t>From</w:t>
            </w:r>
            <w:r w:rsidRPr="006C7402">
              <w:rPr>
                <w:color w:val="auto"/>
                <w:sz w:val="14"/>
                <w:szCs w:val="14"/>
              </w:rPr>
              <w:t xml:space="preserve"> July 2019, the data on Central and Provincial Government Deposits with Scheduled Banks have been revised. This revision is due to reclassification of some of the PSEs, which were reported under Government Institutions. The coverage of PSEs has been enhanced since July 2019</w:t>
            </w:r>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960F16" w:rsidRPr="00D5469A" w:rsidTr="00114997">
        <w:trPr>
          <w:trHeight w:val="259"/>
          <w:jc w:val="center"/>
        </w:trPr>
        <w:tc>
          <w:tcPr>
            <w:tcW w:w="2596" w:type="pct"/>
            <w:tcBorders>
              <w:top w:val="single" w:sz="12" w:space="0" w:color="auto"/>
              <w:left w:val="nil"/>
              <w:bottom w:val="nil"/>
              <w:right w:val="nil"/>
            </w:tcBorders>
            <w:shd w:val="clear" w:color="auto" w:fill="auto"/>
            <w:vAlign w:val="center"/>
            <w:hideMark/>
          </w:tcPr>
          <w:p w:rsidR="00960F16" w:rsidRPr="00D5469A" w:rsidRDefault="00960F16" w:rsidP="00960F16">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960F16" w:rsidRDefault="00960F16" w:rsidP="00960F16">
            <w:pPr>
              <w:jc w:val="right"/>
              <w:rPr>
                <w:szCs w:val="16"/>
              </w:rPr>
            </w:pPr>
            <w:r>
              <w:rPr>
                <w:szCs w:val="16"/>
              </w:rPr>
              <w:t>1,325</w:t>
            </w:r>
          </w:p>
        </w:tc>
        <w:tc>
          <w:tcPr>
            <w:tcW w:w="569" w:type="pct"/>
            <w:tcBorders>
              <w:top w:val="single" w:sz="12" w:space="0" w:color="auto"/>
              <w:left w:val="nil"/>
              <w:bottom w:val="nil"/>
              <w:right w:val="nil"/>
            </w:tcBorders>
            <w:shd w:val="clear" w:color="auto" w:fill="auto"/>
            <w:vAlign w:val="center"/>
            <w:hideMark/>
          </w:tcPr>
          <w:p w:rsidR="00960F16" w:rsidRDefault="00960F16" w:rsidP="00960F16">
            <w:pPr>
              <w:jc w:val="right"/>
              <w:rPr>
                <w:szCs w:val="16"/>
              </w:rPr>
            </w:pPr>
            <w:r>
              <w:rPr>
                <w:szCs w:val="16"/>
              </w:rPr>
              <w:t>949</w:t>
            </w:r>
          </w:p>
        </w:tc>
        <w:tc>
          <w:tcPr>
            <w:tcW w:w="626" w:type="pct"/>
            <w:tcBorders>
              <w:top w:val="single" w:sz="12" w:space="0" w:color="auto"/>
              <w:left w:val="nil"/>
              <w:bottom w:val="nil"/>
              <w:right w:val="nil"/>
            </w:tcBorders>
            <w:shd w:val="clear" w:color="auto" w:fill="auto"/>
            <w:vAlign w:val="center"/>
            <w:hideMark/>
          </w:tcPr>
          <w:p w:rsidR="00960F16" w:rsidRPr="00960F16" w:rsidRDefault="00960F16" w:rsidP="00960F16">
            <w:pPr>
              <w:jc w:val="right"/>
              <w:rPr>
                <w:szCs w:val="16"/>
              </w:rPr>
            </w:pPr>
            <w:r w:rsidRPr="00960F16">
              <w:rPr>
                <w:szCs w:val="16"/>
              </w:rPr>
              <w:t>22</w:t>
            </w:r>
          </w:p>
        </w:tc>
        <w:tc>
          <w:tcPr>
            <w:tcW w:w="641" w:type="pct"/>
            <w:tcBorders>
              <w:top w:val="single" w:sz="12" w:space="0" w:color="auto"/>
              <w:left w:val="nil"/>
              <w:bottom w:val="nil"/>
              <w:right w:val="nil"/>
            </w:tcBorders>
            <w:shd w:val="clear" w:color="auto" w:fill="auto"/>
            <w:vAlign w:val="center"/>
            <w:hideMark/>
          </w:tcPr>
          <w:p w:rsidR="00960F16" w:rsidRPr="00960F16" w:rsidRDefault="00960F16" w:rsidP="00960F16">
            <w:pPr>
              <w:jc w:val="right"/>
              <w:rPr>
                <w:szCs w:val="16"/>
              </w:rPr>
            </w:pPr>
            <w:r w:rsidRPr="00960F16">
              <w:rPr>
                <w:szCs w:val="16"/>
              </w:rPr>
              <w:t>(291)</w:t>
            </w:r>
          </w:p>
        </w:tc>
      </w:tr>
      <w:tr w:rsidR="00960F16" w:rsidRPr="00D5469A" w:rsidTr="00114997">
        <w:trPr>
          <w:trHeight w:val="259"/>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727,308</w:t>
            </w:r>
          </w:p>
        </w:tc>
        <w:tc>
          <w:tcPr>
            <w:tcW w:w="569"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654,170</w:t>
            </w:r>
          </w:p>
        </w:tc>
        <w:tc>
          <w:tcPr>
            <w:tcW w:w="626" w:type="pct"/>
            <w:tcBorders>
              <w:top w:val="nil"/>
              <w:left w:val="nil"/>
              <w:bottom w:val="nil"/>
              <w:right w:val="nil"/>
            </w:tcBorders>
            <w:shd w:val="clear" w:color="auto" w:fill="auto"/>
            <w:vAlign w:val="center"/>
            <w:hideMark/>
          </w:tcPr>
          <w:p w:rsidR="00960F16" w:rsidRPr="00960F16" w:rsidRDefault="00960F16" w:rsidP="00960F16">
            <w:pPr>
              <w:jc w:val="right"/>
              <w:rPr>
                <w:szCs w:val="16"/>
              </w:rPr>
            </w:pPr>
            <w:r w:rsidRPr="00960F16">
              <w:rPr>
                <w:szCs w:val="16"/>
              </w:rPr>
              <w:t>(13,014)</w:t>
            </w:r>
          </w:p>
        </w:tc>
        <w:tc>
          <w:tcPr>
            <w:tcW w:w="641" w:type="pct"/>
            <w:tcBorders>
              <w:top w:val="nil"/>
              <w:left w:val="nil"/>
              <w:bottom w:val="nil"/>
              <w:right w:val="nil"/>
            </w:tcBorders>
            <w:shd w:val="clear" w:color="auto" w:fill="auto"/>
            <w:vAlign w:val="center"/>
            <w:hideMark/>
          </w:tcPr>
          <w:p w:rsidR="00960F16" w:rsidRPr="00960F16" w:rsidRDefault="00960F16" w:rsidP="00960F16">
            <w:pPr>
              <w:jc w:val="right"/>
              <w:rPr>
                <w:szCs w:val="16"/>
              </w:rPr>
            </w:pPr>
            <w:r w:rsidRPr="00960F16">
              <w:rPr>
                <w:szCs w:val="16"/>
              </w:rPr>
              <w:t>(15,191)</w:t>
            </w:r>
          </w:p>
        </w:tc>
      </w:tr>
      <w:tr w:rsidR="00960F16" w:rsidRPr="00D5469A" w:rsidTr="00114997">
        <w:trPr>
          <w:trHeight w:val="259"/>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51,610</w:t>
            </w:r>
          </w:p>
        </w:tc>
        <w:tc>
          <w:tcPr>
            <w:tcW w:w="569"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56,074</w:t>
            </w:r>
          </w:p>
        </w:tc>
        <w:tc>
          <w:tcPr>
            <w:tcW w:w="626" w:type="pct"/>
            <w:tcBorders>
              <w:top w:val="nil"/>
              <w:left w:val="nil"/>
              <w:bottom w:val="nil"/>
              <w:right w:val="nil"/>
            </w:tcBorders>
            <w:shd w:val="clear" w:color="auto" w:fill="auto"/>
            <w:vAlign w:val="center"/>
            <w:hideMark/>
          </w:tcPr>
          <w:p w:rsidR="00960F16" w:rsidRPr="00960F16" w:rsidRDefault="00960F16" w:rsidP="00960F16">
            <w:pPr>
              <w:jc w:val="right"/>
              <w:rPr>
                <w:szCs w:val="16"/>
              </w:rPr>
            </w:pPr>
            <w:r w:rsidRPr="00960F16">
              <w:rPr>
                <w:szCs w:val="16"/>
              </w:rPr>
              <w:t>854</w:t>
            </w:r>
          </w:p>
        </w:tc>
        <w:tc>
          <w:tcPr>
            <w:tcW w:w="641" w:type="pct"/>
            <w:tcBorders>
              <w:top w:val="nil"/>
              <w:left w:val="nil"/>
              <w:bottom w:val="nil"/>
              <w:right w:val="nil"/>
            </w:tcBorders>
            <w:shd w:val="clear" w:color="auto" w:fill="auto"/>
            <w:vAlign w:val="center"/>
            <w:hideMark/>
          </w:tcPr>
          <w:p w:rsidR="00960F16" w:rsidRPr="00960F16" w:rsidRDefault="00960F16" w:rsidP="00960F16">
            <w:pPr>
              <w:jc w:val="right"/>
              <w:rPr>
                <w:szCs w:val="16"/>
              </w:rPr>
            </w:pPr>
            <w:r w:rsidRPr="00960F16">
              <w:rPr>
                <w:szCs w:val="16"/>
              </w:rPr>
              <w:t>1,870</w:t>
            </w:r>
          </w:p>
        </w:tc>
      </w:tr>
      <w:tr w:rsidR="00960F16" w:rsidRPr="00D5469A" w:rsidTr="00114997">
        <w:trPr>
          <w:trHeight w:val="259"/>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38,372</w:t>
            </w:r>
          </w:p>
        </w:tc>
        <w:tc>
          <w:tcPr>
            <w:tcW w:w="569"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44,056</w:t>
            </w:r>
          </w:p>
        </w:tc>
        <w:tc>
          <w:tcPr>
            <w:tcW w:w="626" w:type="pct"/>
            <w:tcBorders>
              <w:top w:val="nil"/>
              <w:left w:val="nil"/>
              <w:bottom w:val="nil"/>
              <w:right w:val="nil"/>
            </w:tcBorders>
            <w:shd w:val="clear" w:color="auto" w:fill="auto"/>
            <w:vAlign w:val="center"/>
            <w:hideMark/>
          </w:tcPr>
          <w:p w:rsidR="00960F16" w:rsidRPr="00960F16" w:rsidRDefault="00960F16" w:rsidP="00960F16">
            <w:pPr>
              <w:jc w:val="right"/>
              <w:rPr>
                <w:szCs w:val="16"/>
              </w:rPr>
            </w:pPr>
            <w:r w:rsidRPr="00960F16">
              <w:rPr>
                <w:szCs w:val="16"/>
              </w:rPr>
              <w:t>647</w:t>
            </w:r>
          </w:p>
        </w:tc>
        <w:tc>
          <w:tcPr>
            <w:tcW w:w="641" w:type="pct"/>
            <w:tcBorders>
              <w:top w:val="nil"/>
              <w:left w:val="nil"/>
              <w:bottom w:val="nil"/>
              <w:right w:val="nil"/>
            </w:tcBorders>
            <w:shd w:val="clear" w:color="auto" w:fill="auto"/>
            <w:vAlign w:val="center"/>
            <w:hideMark/>
          </w:tcPr>
          <w:p w:rsidR="00960F16" w:rsidRPr="00960F16" w:rsidRDefault="00960F16" w:rsidP="00960F16">
            <w:pPr>
              <w:jc w:val="right"/>
              <w:rPr>
                <w:szCs w:val="16"/>
              </w:rPr>
            </w:pPr>
            <w:r w:rsidRPr="00960F16">
              <w:rPr>
                <w:szCs w:val="16"/>
              </w:rPr>
              <w:t>1,728</w:t>
            </w:r>
          </w:p>
        </w:tc>
      </w:tr>
      <w:tr w:rsidR="00960F16" w:rsidRPr="00D5469A" w:rsidTr="00114997">
        <w:trPr>
          <w:trHeight w:val="259"/>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r>
      <w:tr w:rsidR="00960F16" w:rsidRPr="00D5469A" w:rsidTr="00114997">
        <w:trPr>
          <w:trHeight w:val="259"/>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r>
      <w:tr w:rsidR="00960F16" w:rsidRPr="00D5469A" w:rsidTr="00114997">
        <w:trPr>
          <w:trHeight w:val="259"/>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r>
      <w:tr w:rsidR="00960F16" w:rsidRPr="00D5469A" w:rsidTr="00114997">
        <w:trPr>
          <w:trHeight w:val="259"/>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960F16" w:rsidRDefault="00960F16" w:rsidP="00960F16">
            <w:pPr>
              <w:jc w:val="right"/>
              <w:rPr>
                <w:sz w:val="20"/>
              </w:rPr>
            </w:pPr>
            <w:r>
              <w:rPr>
                <w:sz w:val="20"/>
              </w:rPr>
              <w:t>-</w:t>
            </w:r>
          </w:p>
        </w:tc>
        <w:tc>
          <w:tcPr>
            <w:tcW w:w="569" w:type="pct"/>
            <w:tcBorders>
              <w:top w:val="nil"/>
              <w:left w:val="nil"/>
              <w:bottom w:val="nil"/>
              <w:right w:val="nil"/>
            </w:tcBorders>
            <w:shd w:val="clear" w:color="auto" w:fill="auto"/>
            <w:vAlign w:val="center"/>
            <w:hideMark/>
          </w:tcPr>
          <w:p w:rsidR="00960F16" w:rsidRDefault="00960F16" w:rsidP="00960F16">
            <w:pPr>
              <w:jc w:val="right"/>
              <w:rPr>
                <w:sz w:val="20"/>
              </w:rPr>
            </w:pPr>
            <w:r>
              <w:rPr>
                <w:sz w:val="20"/>
              </w:rPr>
              <w:t>-</w:t>
            </w:r>
          </w:p>
        </w:tc>
        <w:tc>
          <w:tcPr>
            <w:tcW w:w="626" w:type="pct"/>
            <w:tcBorders>
              <w:top w:val="nil"/>
              <w:left w:val="nil"/>
              <w:bottom w:val="nil"/>
              <w:right w:val="nil"/>
            </w:tcBorders>
            <w:shd w:val="clear" w:color="auto" w:fill="auto"/>
            <w:vAlign w:val="center"/>
            <w:hideMark/>
          </w:tcPr>
          <w:p w:rsidR="00960F16" w:rsidRDefault="00960F16" w:rsidP="00960F16">
            <w:pPr>
              <w:jc w:val="right"/>
              <w:rPr>
                <w:sz w:val="20"/>
              </w:rPr>
            </w:pPr>
            <w:r>
              <w:rPr>
                <w:sz w:val="20"/>
              </w:rPr>
              <w:t>-</w:t>
            </w:r>
          </w:p>
        </w:tc>
        <w:tc>
          <w:tcPr>
            <w:tcW w:w="641" w:type="pct"/>
            <w:tcBorders>
              <w:top w:val="nil"/>
              <w:left w:val="nil"/>
              <w:bottom w:val="nil"/>
              <w:right w:val="nil"/>
            </w:tcBorders>
            <w:shd w:val="clear" w:color="auto" w:fill="auto"/>
            <w:vAlign w:val="center"/>
            <w:hideMark/>
          </w:tcPr>
          <w:p w:rsidR="00960F16" w:rsidRDefault="00960F16" w:rsidP="00960F16">
            <w:pPr>
              <w:jc w:val="right"/>
              <w:rPr>
                <w:sz w:val="20"/>
              </w:rPr>
            </w:pPr>
            <w:r>
              <w:rPr>
                <w:sz w:val="20"/>
              </w:rPr>
              <w:t>-</w:t>
            </w:r>
          </w:p>
        </w:tc>
      </w:tr>
      <w:tr w:rsidR="00960F16" w:rsidRPr="00D5469A" w:rsidTr="00114997">
        <w:trPr>
          <w:trHeight w:val="259"/>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r>
      <w:tr w:rsidR="00960F16" w:rsidRPr="00D5469A" w:rsidTr="00114997">
        <w:trPr>
          <w:trHeight w:val="259"/>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r>
      <w:tr w:rsidR="00960F16" w:rsidRPr="00D5469A" w:rsidTr="00114997">
        <w:trPr>
          <w:trHeight w:val="259"/>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r>
      <w:tr w:rsidR="00960F16" w:rsidRPr="00D5469A" w:rsidTr="00114997">
        <w:trPr>
          <w:trHeight w:val="259"/>
          <w:jc w:val="center"/>
        </w:trPr>
        <w:tc>
          <w:tcPr>
            <w:tcW w:w="2596" w:type="pct"/>
            <w:tcBorders>
              <w:top w:val="nil"/>
              <w:left w:val="nil"/>
              <w:bottom w:val="nil"/>
              <w:right w:val="nil"/>
            </w:tcBorders>
            <w:shd w:val="clear" w:color="auto" w:fill="auto"/>
            <w:vAlign w:val="center"/>
            <w:hideMark/>
          </w:tcPr>
          <w:p w:rsidR="00960F16" w:rsidRPr="00D5469A" w:rsidRDefault="00960F16" w:rsidP="00960F16">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960F16" w:rsidRDefault="00960F16" w:rsidP="00960F16">
            <w:pPr>
              <w:jc w:val="right"/>
              <w:rPr>
                <w:szCs w:val="16"/>
              </w:rPr>
            </w:pPr>
            <w:r>
              <w:rPr>
                <w:szCs w:val="16"/>
              </w:rPr>
              <w:t>-</w:t>
            </w:r>
          </w:p>
        </w:tc>
      </w:tr>
      <w:tr w:rsidR="00960F16" w:rsidRPr="00D5469A" w:rsidTr="00114997">
        <w:trPr>
          <w:trHeight w:val="259"/>
          <w:jc w:val="center"/>
        </w:trPr>
        <w:tc>
          <w:tcPr>
            <w:tcW w:w="2596" w:type="pct"/>
            <w:tcBorders>
              <w:top w:val="nil"/>
              <w:left w:val="nil"/>
              <w:right w:val="nil"/>
            </w:tcBorders>
            <w:shd w:val="clear" w:color="auto" w:fill="auto"/>
            <w:vAlign w:val="center"/>
            <w:hideMark/>
          </w:tcPr>
          <w:p w:rsidR="00960F16" w:rsidRPr="00D5469A" w:rsidRDefault="00960F16" w:rsidP="00960F16">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960F16" w:rsidRDefault="00960F16" w:rsidP="00960F16">
            <w:pPr>
              <w:jc w:val="right"/>
              <w:rPr>
                <w:szCs w:val="16"/>
              </w:rPr>
            </w:pPr>
            <w:r>
              <w:rPr>
                <w:szCs w:val="16"/>
              </w:rPr>
              <w:t>-</w:t>
            </w:r>
          </w:p>
        </w:tc>
        <w:tc>
          <w:tcPr>
            <w:tcW w:w="569" w:type="pct"/>
            <w:tcBorders>
              <w:top w:val="nil"/>
              <w:left w:val="nil"/>
              <w:right w:val="nil"/>
            </w:tcBorders>
            <w:shd w:val="clear" w:color="auto" w:fill="auto"/>
            <w:vAlign w:val="center"/>
            <w:hideMark/>
          </w:tcPr>
          <w:p w:rsidR="00960F16" w:rsidRDefault="00960F16" w:rsidP="00960F16">
            <w:pPr>
              <w:jc w:val="right"/>
              <w:rPr>
                <w:szCs w:val="16"/>
              </w:rPr>
            </w:pPr>
            <w:r>
              <w:rPr>
                <w:szCs w:val="16"/>
              </w:rPr>
              <w:t>-</w:t>
            </w:r>
          </w:p>
        </w:tc>
        <w:tc>
          <w:tcPr>
            <w:tcW w:w="626" w:type="pct"/>
            <w:tcBorders>
              <w:top w:val="nil"/>
              <w:left w:val="nil"/>
              <w:right w:val="nil"/>
            </w:tcBorders>
            <w:shd w:val="clear" w:color="auto" w:fill="auto"/>
            <w:vAlign w:val="center"/>
            <w:hideMark/>
          </w:tcPr>
          <w:p w:rsidR="00960F16" w:rsidRDefault="00960F16" w:rsidP="00960F16">
            <w:pPr>
              <w:jc w:val="right"/>
              <w:rPr>
                <w:szCs w:val="16"/>
              </w:rPr>
            </w:pPr>
            <w:r>
              <w:rPr>
                <w:szCs w:val="16"/>
              </w:rPr>
              <w:t>-</w:t>
            </w:r>
          </w:p>
        </w:tc>
        <w:tc>
          <w:tcPr>
            <w:tcW w:w="641" w:type="pct"/>
            <w:tcBorders>
              <w:top w:val="nil"/>
              <w:left w:val="nil"/>
              <w:right w:val="nil"/>
            </w:tcBorders>
            <w:shd w:val="clear" w:color="auto" w:fill="auto"/>
            <w:vAlign w:val="center"/>
            <w:hideMark/>
          </w:tcPr>
          <w:p w:rsidR="00960F16" w:rsidRDefault="00960F16" w:rsidP="00960F16">
            <w:pPr>
              <w:jc w:val="right"/>
              <w:rPr>
                <w:szCs w:val="16"/>
              </w:rPr>
            </w:pPr>
            <w:r>
              <w:rPr>
                <w:szCs w:val="16"/>
              </w:rPr>
              <w:t>-</w:t>
            </w:r>
          </w:p>
        </w:tc>
      </w:tr>
      <w:tr w:rsidR="00960F16" w:rsidRPr="00D5469A" w:rsidTr="00114997">
        <w:trPr>
          <w:trHeight w:val="259"/>
          <w:jc w:val="center"/>
        </w:trPr>
        <w:tc>
          <w:tcPr>
            <w:tcW w:w="2596" w:type="pct"/>
            <w:tcBorders>
              <w:top w:val="nil"/>
              <w:left w:val="nil"/>
              <w:right w:val="nil"/>
            </w:tcBorders>
            <w:shd w:val="clear" w:color="auto" w:fill="auto"/>
            <w:vAlign w:val="center"/>
            <w:hideMark/>
          </w:tcPr>
          <w:p w:rsidR="00960F16" w:rsidRPr="00D5469A" w:rsidRDefault="00960F16" w:rsidP="00960F16">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960F16" w:rsidRDefault="00960F16" w:rsidP="00960F16">
            <w:pPr>
              <w:jc w:val="right"/>
              <w:rPr>
                <w:szCs w:val="16"/>
              </w:rPr>
            </w:pPr>
            <w:r>
              <w:rPr>
                <w:szCs w:val="16"/>
              </w:rPr>
              <w:t>-</w:t>
            </w:r>
          </w:p>
        </w:tc>
        <w:tc>
          <w:tcPr>
            <w:tcW w:w="569" w:type="pct"/>
            <w:tcBorders>
              <w:top w:val="nil"/>
              <w:left w:val="nil"/>
              <w:right w:val="nil"/>
            </w:tcBorders>
            <w:shd w:val="clear" w:color="auto" w:fill="auto"/>
            <w:vAlign w:val="center"/>
            <w:hideMark/>
          </w:tcPr>
          <w:p w:rsidR="00960F16" w:rsidRDefault="00960F16" w:rsidP="00960F16">
            <w:pPr>
              <w:jc w:val="right"/>
              <w:rPr>
                <w:szCs w:val="16"/>
              </w:rPr>
            </w:pPr>
            <w:r>
              <w:rPr>
                <w:szCs w:val="16"/>
              </w:rPr>
              <w:t>-</w:t>
            </w:r>
          </w:p>
        </w:tc>
        <w:tc>
          <w:tcPr>
            <w:tcW w:w="626" w:type="pct"/>
            <w:tcBorders>
              <w:top w:val="nil"/>
              <w:left w:val="nil"/>
              <w:right w:val="nil"/>
            </w:tcBorders>
            <w:shd w:val="clear" w:color="auto" w:fill="auto"/>
            <w:vAlign w:val="center"/>
            <w:hideMark/>
          </w:tcPr>
          <w:p w:rsidR="00960F16" w:rsidRDefault="00960F16" w:rsidP="00960F16">
            <w:pPr>
              <w:jc w:val="right"/>
              <w:rPr>
                <w:szCs w:val="16"/>
              </w:rPr>
            </w:pPr>
            <w:r>
              <w:rPr>
                <w:szCs w:val="16"/>
              </w:rPr>
              <w:t>-</w:t>
            </w:r>
          </w:p>
        </w:tc>
        <w:tc>
          <w:tcPr>
            <w:tcW w:w="641" w:type="pct"/>
            <w:tcBorders>
              <w:top w:val="nil"/>
              <w:left w:val="nil"/>
              <w:right w:val="nil"/>
            </w:tcBorders>
            <w:shd w:val="clear" w:color="auto" w:fill="auto"/>
            <w:vAlign w:val="center"/>
            <w:hideMark/>
          </w:tcPr>
          <w:p w:rsidR="00960F16" w:rsidRDefault="00960F16" w:rsidP="00960F16">
            <w:pPr>
              <w:jc w:val="right"/>
              <w:rPr>
                <w:szCs w:val="16"/>
              </w:rPr>
            </w:pPr>
            <w:r>
              <w:rPr>
                <w:szCs w:val="16"/>
              </w:rPr>
              <w:t>-</w:t>
            </w:r>
          </w:p>
        </w:tc>
      </w:tr>
      <w:tr w:rsidR="00960F16" w:rsidRPr="00D5469A" w:rsidTr="00114997">
        <w:trPr>
          <w:trHeight w:val="259"/>
          <w:jc w:val="center"/>
        </w:trPr>
        <w:tc>
          <w:tcPr>
            <w:tcW w:w="2596" w:type="pct"/>
            <w:tcBorders>
              <w:left w:val="nil"/>
              <w:bottom w:val="single" w:sz="12" w:space="0" w:color="auto"/>
              <w:right w:val="nil"/>
            </w:tcBorders>
            <w:shd w:val="clear" w:color="auto" w:fill="auto"/>
            <w:vAlign w:val="center"/>
          </w:tcPr>
          <w:p w:rsidR="00960F16" w:rsidRPr="00D5469A" w:rsidRDefault="00960F16" w:rsidP="00960F16">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960F16" w:rsidRDefault="00960F16" w:rsidP="00960F16">
            <w:pPr>
              <w:jc w:val="right"/>
              <w:rPr>
                <w:szCs w:val="16"/>
              </w:rPr>
            </w:pPr>
            <w:r>
              <w:rPr>
                <w:szCs w:val="16"/>
              </w:rPr>
              <w:t>1,065</w:t>
            </w:r>
          </w:p>
        </w:tc>
        <w:tc>
          <w:tcPr>
            <w:tcW w:w="569" w:type="pct"/>
            <w:tcBorders>
              <w:left w:val="nil"/>
              <w:bottom w:val="single" w:sz="12" w:space="0" w:color="auto"/>
              <w:right w:val="nil"/>
            </w:tcBorders>
            <w:shd w:val="clear" w:color="auto" w:fill="auto"/>
            <w:vAlign w:val="center"/>
          </w:tcPr>
          <w:p w:rsidR="00960F16" w:rsidRDefault="00960F16" w:rsidP="00960F16">
            <w:pPr>
              <w:jc w:val="right"/>
              <w:rPr>
                <w:szCs w:val="16"/>
              </w:rPr>
            </w:pPr>
            <w:r>
              <w:rPr>
                <w:szCs w:val="16"/>
              </w:rPr>
              <w:t>1,167</w:t>
            </w:r>
          </w:p>
        </w:tc>
        <w:tc>
          <w:tcPr>
            <w:tcW w:w="626" w:type="pct"/>
            <w:tcBorders>
              <w:left w:val="nil"/>
              <w:bottom w:val="single" w:sz="12" w:space="0" w:color="auto"/>
              <w:right w:val="nil"/>
            </w:tcBorders>
            <w:shd w:val="clear" w:color="auto" w:fill="auto"/>
            <w:vAlign w:val="center"/>
          </w:tcPr>
          <w:p w:rsidR="00960F16" w:rsidRPr="00960F16" w:rsidRDefault="00960F16" w:rsidP="00960F16">
            <w:pPr>
              <w:jc w:val="right"/>
              <w:rPr>
                <w:szCs w:val="16"/>
              </w:rPr>
            </w:pPr>
            <w:r w:rsidRPr="00960F16">
              <w:rPr>
                <w:szCs w:val="16"/>
              </w:rPr>
              <w:t>18</w:t>
            </w:r>
          </w:p>
        </w:tc>
        <w:tc>
          <w:tcPr>
            <w:tcW w:w="641" w:type="pct"/>
            <w:tcBorders>
              <w:left w:val="nil"/>
              <w:bottom w:val="single" w:sz="12" w:space="0" w:color="auto"/>
              <w:right w:val="nil"/>
            </w:tcBorders>
            <w:shd w:val="clear" w:color="auto" w:fill="auto"/>
            <w:vAlign w:val="center"/>
          </w:tcPr>
          <w:p w:rsidR="00960F16" w:rsidRPr="00960F16" w:rsidRDefault="00960F16" w:rsidP="00960F16">
            <w:pPr>
              <w:jc w:val="right"/>
              <w:rPr>
                <w:szCs w:val="16"/>
              </w:rPr>
            </w:pPr>
            <w:r w:rsidRPr="00960F16">
              <w:rPr>
                <w:szCs w:val="16"/>
              </w:rPr>
              <w:t>39</w:t>
            </w:r>
          </w:p>
        </w:tc>
      </w:tr>
      <w:tr w:rsidR="00960F16" w:rsidRPr="00D5469A" w:rsidTr="00114997">
        <w:trPr>
          <w:trHeight w:val="259"/>
          <w:jc w:val="center"/>
        </w:trPr>
        <w:tc>
          <w:tcPr>
            <w:tcW w:w="2596" w:type="pct"/>
            <w:tcBorders>
              <w:top w:val="nil"/>
              <w:left w:val="nil"/>
              <w:bottom w:val="single" w:sz="12" w:space="0" w:color="auto"/>
              <w:right w:val="nil"/>
            </w:tcBorders>
            <w:shd w:val="clear" w:color="auto" w:fill="auto"/>
            <w:vAlign w:val="center"/>
          </w:tcPr>
          <w:p w:rsidR="00960F16" w:rsidRPr="00D5469A" w:rsidRDefault="00960F16" w:rsidP="00960F16">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960F16" w:rsidRDefault="00960F16" w:rsidP="00960F16">
            <w:pPr>
              <w:jc w:val="right"/>
              <w:rPr>
                <w:b/>
                <w:bCs/>
                <w:szCs w:val="16"/>
              </w:rPr>
            </w:pPr>
            <w:r>
              <w:rPr>
                <w:b/>
                <w:bCs/>
                <w:szCs w:val="16"/>
              </w:rPr>
              <w:t>819,680</w:t>
            </w:r>
          </w:p>
        </w:tc>
        <w:tc>
          <w:tcPr>
            <w:tcW w:w="569" w:type="pct"/>
            <w:tcBorders>
              <w:top w:val="nil"/>
              <w:left w:val="nil"/>
              <w:bottom w:val="single" w:sz="12" w:space="0" w:color="auto"/>
              <w:right w:val="nil"/>
            </w:tcBorders>
            <w:shd w:val="clear" w:color="auto" w:fill="auto"/>
            <w:vAlign w:val="center"/>
          </w:tcPr>
          <w:p w:rsidR="00960F16" w:rsidRDefault="00960F16" w:rsidP="00960F16">
            <w:pPr>
              <w:jc w:val="right"/>
              <w:rPr>
                <w:b/>
                <w:bCs/>
                <w:szCs w:val="16"/>
              </w:rPr>
            </w:pPr>
            <w:r>
              <w:rPr>
                <w:b/>
                <w:bCs/>
                <w:szCs w:val="16"/>
              </w:rPr>
              <w:t>756,416</w:t>
            </w:r>
          </w:p>
        </w:tc>
        <w:tc>
          <w:tcPr>
            <w:tcW w:w="626" w:type="pct"/>
            <w:tcBorders>
              <w:top w:val="nil"/>
              <w:left w:val="nil"/>
              <w:bottom w:val="single" w:sz="12" w:space="0" w:color="auto"/>
              <w:right w:val="nil"/>
            </w:tcBorders>
            <w:shd w:val="clear" w:color="auto" w:fill="auto"/>
            <w:vAlign w:val="center"/>
          </w:tcPr>
          <w:p w:rsidR="00960F16" w:rsidRPr="00960F16" w:rsidRDefault="00960F16" w:rsidP="00960F16">
            <w:pPr>
              <w:jc w:val="right"/>
              <w:rPr>
                <w:b/>
                <w:bCs/>
                <w:szCs w:val="16"/>
              </w:rPr>
            </w:pPr>
            <w:r w:rsidRPr="00960F16">
              <w:rPr>
                <w:b/>
                <w:bCs/>
                <w:szCs w:val="16"/>
              </w:rPr>
              <w:t>(11,473)</w:t>
            </w:r>
          </w:p>
        </w:tc>
        <w:tc>
          <w:tcPr>
            <w:tcW w:w="641" w:type="pct"/>
            <w:tcBorders>
              <w:top w:val="nil"/>
              <w:left w:val="nil"/>
              <w:bottom w:val="single" w:sz="12" w:space="0" w:color="auto"/>
              <w:right w:val="nil"/>
            </w:tcBorders>
            <w:shd w:val="clear" w:color="auto" w:fill="auto"/>
            <w:vAlign w:val="center"/>
          </w:tcPr>
          <w:p w:rsidR="00960F16" w:rsidRPr="00960F16" w:rsidRDefault="00960F16" w:rsidP="00960F16">
            <w:pPr>
              <w:jc w:val="right"/>
              <w:rPr>
                <w:b/>
                <w:bCs/>
                <w:szCs w:val="16"/>
              </w:rPr>
            </w:pPr>
            <w:r w:rsidRPr="00960F16">
              <w:rPr>
                <w:b/>
                <w:bCs/>
                <w:szCs w:val="16"/>
              </w:rPr>
              <w:t>(11,846)</w:t>
            </w:r>
          </w:p>
        </w:tc>
      </w:tr>
      <w:tr w:rsidR="00960F16"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960F16" w:rsidRDefault="00960F16" w:rsidP="00960F16">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Layout w:type="fixed"/>
        <w:tblLook w:val="04A0" w:firstRow="1" w:lastRow="0" w:firstColumn="1" w:lastColumn="0" w:noHBand="0" w:noVBand="1"/>
      </w:tblPr>
      <w:tblGrid>
        <w:gridCol w:w="2430"/>
        <w:gridCol w:w="810"/>
        <w:gridCol w:w="900"/>
        <w:gridCol w:w="900"/>
        <w:gridCol w:w="887"/>
        <w:gridCol w:w="900"/>
        <w:gridCol w:w="900"/>
        <w:gridCol w:w="900"/>
        <w:gridCol w:w="900"/>
        <w:gridCol w:w="913"/>
      </w:tblGrid>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lastRenderedPageBreak/>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DD7280">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AB7A08" w:rsidRPr="000C3431" w:rsidTr="00AB7A08">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AB7A08" w:rsidRPr="000C3431" w:rsidRDefault="00AB7A08" w:rsidP="00AB7A08">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AB7A08" w:rsidRPr="00AB7A08" w:rsidRDefault="00AB7A08" w:rsidP="00AB7A08">
            <w:pPr>
              <w:jc w:val="right"/>
              <w:rPr>
                <w:b/>
                <w:bCs/>
                <w:color w:val="auto"/>
                <w:szCs w:val="16"/>
              </w:rPr>
            </w:pPr>
            <w:r w:rsidRPr="00AB7A08">
              <w:rPr>
                <w:b/>
                <w:bCs/>
                <w:color w:val="auto"/>
                <w:szCs w:val="16"/>
              </w:rPr>
              <w:t>FY17</w:t>
            </w:r>
          </w:p>
        </w:tc>
        <w:tc>
          <w:tcPr>
            <w:tcW w:w="900" w:type="dxa"/>
            <w:vMerge w:val="restart"/>
            <w:tcBorders>
              <w:top w:val="nil"/>
              <w:left w:val="single" w:sz="4" w:space="0" w:color="auto"/>
              <w:right w:val="single" w:sz="4" w:space="0" w:color="auto"/>
            </w:tcBorders>
            <w:shd w:val="clear" w:color="auto" w:fill="auto"/>
            <w:vAlign w:val="center"/>
          </w:tcPr>
          <w:p w:rsidR="00AB7A08" w:rsidRPr="00AB7A08" w:rsidRDefault="00AB7A08" w:rsidP="00AB7A08">
            <w:pPr>
              <w:jc w:val="right"/>
              <w:rPr>
                <w:b/>
                <w:bCs/>
                <w:color w:val="auto"/>
                <w:szCs w:val="16"/>
              </w:rPr>
            </w:pPr>
            <w:r w:rsidRPr="00AB7A08">
              <w:rPr>
                <w:b/>
                <w:bCs/>
                <w:color w:val="auto"/>
                <w:szCs w:val="16"/>
              </w:rPr>
              <w:t>FY18</w:t>
            </w:r>
          </w:p>
        </w:tc>
        <w:tc>
          <w:tcPr>
            <w:tcW w:w="900" w:type="dxa"/>
            <w:vMerge w:val="restart"/>
            <w:tcBorders>
              <w:top w:val="nil"/>
              <w:left w:val="single" w:sz="4" w:space="0" w:color="auto"/>
              <w:right w:val="single" w:sz="4" w:space="0" w:color="auto"/>
            </w:tcBorders>
            <w:shd w:val="clear" w:color="auto" w:fill="auto"/>
            <w:vAlign w:val="center"/>
          </w:tcPr>
          <w:p w:rsidR="00AB7A08" w:rsidRPr="00AB7A08" w:rsidRDefault="00AB7A08" w:rsidP="00246F19">
            <w:pPr>
              <w:jc w:val="right"/>
              <w:rPr>
                <w:b/>
                <w:bCs/>
                <w:color w:val="auto"/>
                <w:szCs w:val="16"/>
              </w:rPr>
            </w:pPr>
            <w:r w:rsidRPr="00AB7A08">
              <w:rPr>
                <w:b/>
                <w:bCs/>
                <w:color w:val="auto"/>
                <w:szCs w:val="16"/>
              </w:rPr>
              <w:t>FY19</w:t>
            </w:r>
          </w:p>
        </w:tc>
        <w:tc>
          <w:tcPr>
            <w:tcW w:w="1787" w:type="dxa"/>
            <w:gridSpan w:val="2"/>
            <w:tcBorders>
              <w:top w:val="nil"/>
              <w:left w:val="single" w:sz="4" w:space="0" w:color="auto"/>
              <w:bottom w:val="single" w:sz="4" w:space="0" w:color="auto"/>
              <w:right w:val="single" w:sz="4" w:space="0" w:color="auto"/>
            </w:tcBorders>
            <w:shd w:val="clear" w:color="auto" w:fill="auto"/>
            <w:vAlign w:val="center"/>
          </w:tcPr>
          <w:p w:rsidR="00AB7A08" w:rsidRPr="006619BF" w:rsidRDefault="00AB7A08" w:rsidP="00AB7A08">
            <w:pPr>
              <w:rPr>
                <w:b/>
                <w:bCs/>
                <w:color w:val="auto"/>
                <w:szCs w:val="16"/>
              </w:rPr>
            </w:pPr>
            <w:r>
              <w:rPr>
                <w:b/>
                <w:bCs/>
                <w:color w:val="auto"/>
                <w:szCs w:val="16"/>
              </w:rPr>
              <w:t>2018</w:t>
            </w:r>
          </w:p>
        </w:tc>
        <w:tc>
          <w:tcPr>
            <w:tcW w:w="3613" w:type="dxa"/>
            <w:gridSpan w:val="4"/>
            <w:tcBorders>
              <w:top w:val="single" w:sz="12" w:space="0" w:color="auto"/>
              <w:left w:val="single" w:sz="4" w:space="0" w:color="auto"/>
              <w:bottom w:val="single" w:sz="4" w:space="0" w:color="auto"/>
              <w:right w:val="nil"/>
            </w:tcBorders>
            <w:shd w:val="clear" w:color="auto" w:fill="auto"/>
            <w:vAlign w:val="center"/>
          </w:tcPr>
          <w:p w:rsidR="00AB7A08" w:rsidRPr="006619BF" w:rsidRDefault="00AB7A08" w:rsidP="00AB7A08">
            <w:pPr>
              <w:rPr>
                <w:b/>
                <w:bCs/>
                <w:color w:val="auto"/>
                <w:szCs w:val="16"/>
              </w:rPr>
            </w:pPr>
            <w:r>
              <w:rPr>
                <w:b/>
                <w:bCs/>
                <w:color w:val="auto"/>
                <w:szCs w:val="16"/>
              </w:rPr>
              <w:t>2019</w:t>
            </w:r>
          </w:p>
        </w:tc>
      </w:tr>
      <w:tr w:rsidR="00AB7A08" w:rsidRPr="000C3431" w:rsidTr="00AB7A08">
        <w:trPr>
          <w:trHeight w:val="360"/>
          <w:jc w:val="center"/>
        </w:trPr>
        <w:tc>
          <w:tcPr>
            <w:tcW w:w="2430" w:type="dxa"/>
            <w:vMerge/>
            <w:tcBorders>
              <w:top w:val="nil"/>
              <w:left w:val="nil"/>
              <w:bottom w:val="single" w:sz="12" w:space="0" w:color="000000"/>
              <w:right w:val="single" w:sz="4" w:space="0" w:color="auto"/>
            </w:tcBorders>
            <w:vAlign w:val="center"/>
            <w:hideMark/>
          </w:tcPr>
          <w:p w:rsidR="00AB7A08" w:rsidRPr="000C3431" w:rsidRDefault="00AB7A08" w:rsidP="00AB7A08">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B7A08" w:rsidRPr="006619BF" w:rsidRDefault="00AB7A08" w:rsidP="00AB7A08">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B7A08" w:rsidRPr="006619BF" w:rsidRDefault="00AB7A08" w:rsidP="00AB7A08">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B7A08" w:rsidRPr="006619BF" w:rsidRDefault="00AB7A08" w:rsidP="00AB7A08">
            <w:pPr>
              <w:jc w:val="right"/>
              <w:rPr>
                <w:b/>
                <w:bCs/>
                <w:color w:val="auto"/>
                <w:sz w:val="14"/>
                <w:szCs w:val="14"/>
              </w:rPr>
            </w:pPr>
          </w:p>
        </w:tc>
        <w:tc>
          <w:tcPr>
            <w:tcW w:w="88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B7A08" w:rsidRPr="006619BF" w:rsidRDefault="00AB7A08" w:rsidP="00AB7A08">
            <w:pPr>
              <w:jc w:val="right"/>
              <w:rPr>
                <w:b/>
                <w:color w:val="auto"/>
                <w:sz w:val="14"/>
                <w:szCs w:val="14"/>
              </w:rPr>
            </w:pPr>
            <w:r>
              <w:rPr>
                <w:b/>
                <w:color w:val="auto"/>
                <w:sz w:val="14"/>
                <w:szCs w:val="14"/>
              </w:rPr>
              <w:t>May</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Jun</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B7A08" w:rsidRPr="006619BF" w:rsidRDefault="00AB7A08" w:rsidP="00AB7A08">
            <w:pPr>
              <w:jc w:val="right"/>
              <w:rPr>
                <w:b/>
                <w:color w:val="auto"/>
                <w:sz w:val="14"/>
                <w:szCs w:val="14"/>
              </w:rPr>
            </w:pPr>
            <w:r>
              <w:rPr>
                <w:b/>
                <w:color w:val="auto"/>
                <w:sz w:val="14"/>
                <w:szCs w:val="14"/>
              </w:rPr>
              <w:t>Mar</w:t>
            </w:r>
          </w:p>
        </w:tc>
        <w:tc>
          <w:tcPr>
            <w:tcW w:w="900" w:type="dxa"/>
            <w:tcBorders>
              <w:top w:val="single" w:sz="4" w:space="0" w:color="auto"/>
              <w:bottom w:val="single" w:sz="12" w:space="0" w:color="auto"/>
            </w:tcBorders>
            <w:shd w:val="clear" w:color="auto" w:fill="auto"/>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Apr</w:t>
            </w:r>
          </w:p>
        </w:tc>
        <w:tc>
          <w:tcPr>
            <w:tcW w:w="900" w:type="dxa"/>
            <w:tcBorders>
              <w:top w:val="single" w:sz="4" w:space="0" w:color="auto"/>
              <w:bottom w:val="single" w:sz="12" w:space="0" w:color="auto"/>
            </w:tcBorders>
            <w:shd w:val="clear" w:color="auto" w:fill="auto"/>
            <w:noWrap/>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May</w:t>
            </w:r>
          </w:p>
        </w:tc>
        <w:tc>
          <w:tcPr>
            <w:tcW w:w="913" w:type="dxa"/>
            <w:tcBorders>
              <w:top w:val="single" w:sz="4" w:space="0" w:color="auto"/>
              <w:bottom w:val="single" w:sz="12" w:space="0" w:color="auto"/>
              <w:right w:val="nil"/>
            </w:tcBorders>
            <w:shd w:val="clear" w:color="auto" w:fill="auto"/>
            <w:tcMar>
              <w:left w:w="43" w:type="dxa"/>
              <w:right w:w="43" w:type="dxa"/>
            </w:tcMar>
            <w:vAlign w:val="center"/>
          </w:tcPr>
          <w:p w:rsidR="00AB7A08" w:rsidRPr="006619BF" w:rsidRDefault="00AB7A08" w:rsidP="00246F19">
            <w:pPr>
              <w:jc w:val="right"/>
              <w:rPr>
                <w:b/>
                <w:color w:val="auto"/>
                <w:sz w:val="14"/>
                <w:szCs w:val="14"/>
              </w:rPr>
            </w:pPr>
            <w:r>
              <w:rPr>
                <w:b/>
                <w:color w:val="auto"/>
                <w:sz w:val="14"/>
                <w:szCs w:val="14"/>
              </w:rPr>
              <w:t>Jun</w:t>
            </w:r>
          </w:p>
        </w:tc>
      </w:tr>
      <w:tr w:rsidR="00AB7A08" w:rsidRPr="000C3431" w:rsidTr="00AB7A08">
        <w:trPr>
          <w:trHeight w:val="360"/>
          <w:jc w:val="center"/>
        </w:trPr>
        <w:tc>
          <w:tcPr>
            <w:tcW w:w="2430" w:type="dxa"/>
            <w:tcBorders>
              <w:top w:val="nil"/>
              <w:left w:val="nil"/>
              <w:bottom w:val="nil"/>
              <w:right w:val="nil"/>
            </w:tcBorders>
            <w:shd w:val="clear" w:color="auto" w:fill="auto"/>
            <w:vAlign w:val="center"/>
            <w:hideMark/>
          </w:tcPr>
          <w:p w:rsidR="00AB7A08" w:rsidRPr="000C3431" w:rsidRDefault="00AB7A08" w:rsidP="00AB7A08">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AB7A08" w:rsidRPr="000C3431" w:rsidRDefault="00AB7A08" w:rsidP="00AB7A08">
            <w:pPr>
              <w:jc w:val="right"/>
              <w:rPr>
                <w:color w:val="auto"/>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AB7A08" w:rsidRPr="000C3431" w:rsidRDefault="00AB7A08" w:rsidP="00AB7A08">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AB7A08" w:rsidRPr="000C3431" w:rsidRDefault="00AB7A08" w:rsidP="00AB7A08">
            <w:pPr>
              <w:jc w:val="right"/>
              <w:rPr>
                <w:color w:val="auto"/>
                <w:sz w:val="14"/>
                <w:szCs w:val="14"/>
              </w:rPr>
            </w:pPr>
          </w:p>
        </w:tc>
        <w:tc>
          <w:tcPr>
            <w:tcW w:w="913" w:type="dxa"/>
            <w:tcBorders>
              <w:top w:val="nil"/>
              <w:left w:val="nil"/>
              <w:bottom w:val="nil"/>
              <w:right w:val="nil"/>
            </w:tcBorders>
            <w:shd w:val="clear" w:color="auto" w:fill="auto"/>
            <w:tcMar>
              <w:left w:w="43" w:type="dxa"/>
              <w:right w:w="43" w:type="dxa"/>
            </w:tcMar>
            <w:vAlign w:val="center"/>
          </w:tcPr>
          <w:p w:rsidR="00AB7A08" w:rsidRPr="000C3431" w:rsidRDefault="00AB7A08" w:rsidP="00AB7A08">
            <w:pPr>
              <w:jc w:val="right"/>
              <w:rPr>
                <w:color w:val="auto"/>
                <w:sz w:val="14"/>
                <w:szCs w:val="14"/>
              </w:rPr>
            </w:pP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196.7</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198.8</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157.7</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196.7</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150.4</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101.3</w:t>
            </w:r>
          </w:p>
        </w:tc>
        <w:tc>
          <w:tcPr>
            <w:tcW w:w="900" w:type="dxa"/>
            <w:tcBorders>
              <w:top w:val="nil"/>
              <w:left w:val="nil"/>
              <w:bottom w:val="nil"/>
              <w:right w:val="nil"/>
            </w:tcBorders>
            <w:shd w:val="clear" w:color="auto" w:fill="auto"/>
            <w:noWrap/>
            <w:tcMar>
              <w:left w:w="43" w:type="dxa"/>
              <w:right w:w="43" w:type="dxa"/>
            </w:tcMar>
            <w:vAlign w:val="center"/>
          </w:tcPr>
          <w:p w:rsidR="00C95E76" w:rsidRDefault="00C95E76" w:rsidP="00C95E76">
            <w:pPr>
              <w:jc w:val="right"/>
              <w:rPr>
                <w:sz w:val="14"/>
                <w:szCs w:val="14"/>
              </w:rPr>
            </w:pPr>
            <w:r>
              <w:rPr>
                <w:sz w:val="14"/>
                <w:szCs w:val="14"/>
              </w:rPr>
              <w:t>107.2</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198.8</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4,689,317.5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5,318,986.8</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4,620,579.6</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4,689,317.5</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4,944,291.1</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5,028,939.2</w:t>
            </w:r>
          </w:p>
        </w:tc>
        <w:tc>
          <w:tcPr>
            <w:tcW w:w="900" w:type="dxa"/>
            <w:tcBorders>
              <w:top w:val="nil"/>
              <w:left w:val="nil"/>
              <w:bottom w:val="nil"/>
              <w:right w:val="nil"/>
            </w:tcBorders>
            <w:shd w:val="clear" w:color="auto" w:fill="auto"/>
            <w:noWrap/>
            <w:tcMar>
              <w:left w:w="43" w:type="dxa"/>
              <w:right w:w="43" w:type="dxa"/>
            </w:tcMar>
            <w:vAlign w:val="center"/>
          </w:tcPr>
          <w:p w:rsidR="00C95E76" w:rsidRDefault="00C95E76" w:rsidP="00C95E76">
            <w:pPr>
              <w:jc w:val="right"/>
              <w:rPr>
                <w:sz w:val="14"/>
                <w:szCs w:val="14"/>
              </w:rPr>
            </w:pPr>
            <w:r>
              <w:rPr>
                <w:sz w:val="14"/>
                <w:szCs w:val="14"/>
              </w:rPr>
              <w:t>5,412,362.4</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5,318,986.8</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4,689,514.2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5,319,185.5</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4,620,737.3</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4,689,514.2</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4,944,441.5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5,029,040.5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5,412,469.6</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5,319,185.5</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jc w:val="left"/>
              <w:rPr>
                <w:b/>
                <w:bCs/>
                <w:color w:val="auto"/>
                <w:sz w:val="14"/>
                <w:szCs w:val="14"/>
              </w:rPr>
            </w:pPr>
            <w:r w:rsidRPr="000C3431">
              <w:rPr>
                <w:b/>
                <w:bCs/>
                <w:color w:val="auto"/>
                <w:sz w:val="14"/>
                <w:szCs w:val="14"/>
              </w:rPr>
              <w:t>A S S E T 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347,132.5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950,759.4</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612,006.7</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347,132.5</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1,070,300.4</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904,257.4</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890,392.6</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950,759.4</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313,461.1</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468,625.0</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315,381.2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313,461.1</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378,848.8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378,848.8</w:t>
            </w:r>
          </w:p>
        </w:tc>
        <w:tc>
          <w:tcPr>
            <w:tcW w:w="900" w:type="dxa"/>
            <w:tcBorders>
              <w:top w:val="nil"/>
              <w:left w:val="nil"/>
              <w:bottom w:val="nil"/>
              <w:right w:val="nil"/>
            </w:tcBorders>
            <w:shd w:val="clear" w:color="auto" w:fill="auto"/>
            <w:noWrap/>
            <w:tcMar>
              <w:left w:w="43" w:type="dxa"/>
              <w:right w:w="43" w:type="dxa"/>
            </w:tcMar>
            <w:vAlign w:val="center"/>
          </w:tcPr>
          <w:p w:rsidR="00C95E76" w:rsidRDefault="00C95E76" w:rsidP="00C95E76">
            <w:pPr>
              <w:jc w:val="right"/>
              <w:rPr>
                <w:sz w:val="14"/>
                <w:szCs w:val="14"/>
              </w:rPr>
            </w:pPr>
            <w:r>
              <w:rPr>
                <w:sz w:val="14"/>
                <w:szCs w:val="14"/>
              </w:rPr>
              <w:t>398,129.5</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468,625.0</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32,973.8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481,371.3</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295,928.0</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32,973.8</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690,688.5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524,645.5</w:t>
            </w:r>
          </w:p>
        </w:tc>
        <w:tc>
          <w:tcPr>
            <w:tcW w:w="900" w:type="dxa"/>
            <w:tcBorders>
              <w:top w:val="nil"/>
              <w:left w:val="nil"/>
              <w:bottom w:val="nil"/>
              <w:right w:val="nil"/>
            </w:tcBorders>
            <w:shd w:val="clear" w:color="auto" w:fill="auto"/>
            <w:noWrap/>
            <w:tcMar>
              <w:left w:w="43" w:type="dxa"/>
              <w:right w:w="43" w:type="dxa"/>
            </w:tcMar>
            <w:vAlign w:val="center"/>
          </w:tcPr>
          <w:p w:rsidR="00C95E76" w:rsidRDefault="00C95E76" w:rsidP="00C95E76">
            <w:pPr>
              <w:jc w:val="right"/>
              <w:rPr>
                <w:sz w:val="14"/>
                <w:szCs w:val="14"/>
              </w:rPr>
            </w:pPr>
            <w:r>
              <w:rPr>
                <w:sz w:val="14"/>
                <w:szCs w:val="14"/>
              </w:rPr>
              <w:t>491,500.0</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481,371.3</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763.0</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763.0</w:t>
            </w:r>
          </w:p>
        </w:tc>
        <w:tc>
          <w:tcPr>
            <w:tcW w:w="900" w:type="dxa"/>
            <w:tcBorders>
              <w:top w:val="nil"/>
              <w:left w:val="nil"/>
              <w:bottom w:val="nil"/>
              <w:right w:val="nil"/>
            </w:tcBorders>
            <w:shd w:val="clear" w:color="auto" w:fill="auto"/>
            <w:noWrap/>
            <w:tcMar>
              <w:left w:w="43" w:type="dxa"/>
              <w:right w:w="43" w:type="dxa"/>
            </w:tcMar>
            <w:vAlign w:val="center"/>
          </w:tcPr>
          <w:p w:rsidR="00C95E76" w:rsidRDefault="00C95E76" w:rsidP="00C95E76">
            <w:pPr>
              <w:jc w:val="right"/>
              <w:rPr>
                <w:sz w:val="14"/>
                <w:szCs w:val="14"/>
              </w:rPr>
            </w:pPr>
            <w:r>
              <w:rPr>
                <w:sz w:val="14"/>
                <w:szCs w:val="14"/>
              </w:rPr>
              <w:t>763.0</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763.0</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95E76" w:rsidRPr="00DD7280" w:rsidRDefault="00C95E76" w:rsidP="00C95E7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95E76" w:rsidRPr="00DD7280" w:rsidRDefault="00C95E76" w:rsidP="00C95E7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4,336,626.9</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4,360,065.1</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4,002,944.6</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4,336,626.9</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3,867,229.2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4,117,871.1</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4,514,853.3</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4,360,065.1</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989.8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1,039.4</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612.8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989.8</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992.8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941.7</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870.8</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1,039.4</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4,335,637.1</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4,359,025.7</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4,002,331.8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4,335,637.1</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3,866,236.4</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4,116,929.4</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4,513,982.5</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4,359,025.7</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20"/>
              </w:rPr>
            </w:pP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5,754.8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8,361.0</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5,785.9</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5,754.8</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b/>
                <w:bCs/>
                <w:sz w:val="14"/>
                <w:szCs w:val="14"/>
              </w:rPr>
            </w:pPr>
            <w:r>
              <w:rPr>
                <w:b/>
                <w:bCs/>
                <w:sz w:val="14"/>
                <w:szCs w:val="14"/>
              </w:rPr>
              <w:t>6,912.0</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6,912.0</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7,223.7</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b/>
                <w:bCs/>
                <w:sz w:val="14"/>
                <w:szCs w:val="14"/>
              </w:rPr>
            </w:pPr>
            <w:r>
              <w:rPr>
                <w:b/>
                <w:bCs/>
                <w:sz w:val="14"/>
                <w:szCs w:val="14"/>
              </w:rPr>
              <w:t>8,361.0</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5,068.0</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7,573.7</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5,099.1</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5,068.0</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6,124.7</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6,124.7</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6,436.4</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7,573.7</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528.5</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528.5</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528.5</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253.6</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253.6</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253.6</w:t>
            </w:r>
          </w:p>
        </w:tc>
      </w:tr>
      <w:tr w:rsidR="00C95E76" w:rsidRPr="000C3431" w:rsidTr="00C95E76">
        <w:trPr>
          <w:trHeight w:val="360"/>
          <w:jc w:val="center"/>
        </w:trPr>
        <w:tc>
          <w:tcPr>
            <w:tcW w:w="2430" w:type="dxa"/>
            <w:tcBorders>
              <w:top w:val="nil"/>
              <w:left w:val="nil"/>
              <w:bottom w:val="nil"/>
              <w:right w:val="nil"/>
            </w:tcBorders>
            <w:shd w:val="clear" w:color="auto" w:fill="auto"/>
            <w:vAlign w:val="center"/>
            <w:hideMark/>
          </w:tcPr>
          <w:p w:rsidR="00C95E76" w:rsidRPr="000C3431" w:rsidRDefault="00C95E76" w:rsidP="00C95E76">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w:t>
            </w:r>
          </w:p>
        </w:tc>
        <w:tc>
          <w:tcPr>
            <w:tcW w:w="887"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C95E76" w:rsidRDefault="00C95E76" w:rsidP="00C95E76">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w:t>
            </w:r>
          </w:p>
        </w:tc>
        <w:tc>
          <w:tcPr>
            <w:tcW w:w="913" w:type="dxa"/>
            <w:tcBorders>
              <w:top w:val="nil"/>
              <w:left w:val="nil"/>
              <w:bottom w:val="nil"/>
              <w:right w:val="nil"/>
            </w:tcBorders>
            <w:shd w:val="clear" w:color="auto" w:fill="auto"/>
            <w:tcMar>
              <w:left w:w="43" w:type="dxa"/>
              <w:right w:w="43" w:type="dxa"/>
            </w:tcMar>
            <w:vAlign w:val="center"/>
          </w:tcPr>
          <w:p w:rsidR="00C95E76" w:rsidRDefault="00C95E76" w:rsidP="00C95E76">
            <w:pPr>
              <w:jc w:val="right"/>
              <w:rPr>
                <w:sz w:val="14"/>
                <w:szCs w:val="14"/>
              </w:rPr>
            </w:pPr>
            <w:r>
              <w:rPr>
                <w:sz w:val="14"/>
                <w:szCs w:val="14"/>
              </w:rPr>
              <w:t>5.2</w:t>
            </w:r>
          </w:p>
        </w:tc>
      </w:tr>
      <w:tr w:rsidR="00AB7A08" w:rsidRPr="000C3431" w:rsidTr="00BB085A">
        <w:trPr>
          <w:trHeight w:val="360"/>
          <w:jc w:val="center"/>
        </w:trPr>
        <w:tc>
          <w:tcPr>
            <w:tcW w:w="2430" w:type="dxa"/>
            <w:tcBorders>
              <w:top w:val="nil"/>
              <w:left w:val="nil"/>
              <w:bottom w:val="single" w:sz="12" w:space="0" w:color="auto"/>
              <w:right w:val="nil"/>
            </w:tcBorders>
            <w:shd w:val="clear" w:color="auto" w:fill="auto"/>
            <w:vAlign w:val="center"/>
            <w:hideMark/>
          </w:tcPr>
          <w:p w:rsidR="00AB7A08" w:rsidRPr="000C3431" w:rsidRDefault="00AB7A08" w:rsidP="00AB7A08">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887"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c>
          <w:tcPr>
            <w:tcW w:w="913" w:type="dxa"/>
            <w:tcBorders>
              <w:top w:val="nil"/>
              <w:left w:val="nil"/>
              <w:bottom w:val="single" w:sz="12" w:space="0" w:color="auto"/>
              <w:right w:val="nil"/>
            </w:tcBorders>
            <w:shd w:val="clear" w:color="auto" w:fill="auto"/>
            <w:tcMar>
              <w:left w:w="43" w:type="dxa"/>
              <w:right w:w="43" w:type="dxa"/>
            </w:tcMar>
            <w:vAlign w:val="center"/>
            <w:hideMark/>
          </w:tcPr>
          <w:p w:rsidR="00AB7A08" w:rsidRDefault="00AB7A08" w:rsidP="00AB7A08">
            <w:pPr>
              <w:jc w:val="right"/>
              <w:rPr>
                <w:b/>
                <w:bCs/>
                <w:sz w:val="14"/>
                <w:szCs w:val="14"/>
              </w:rPr>
            </w:pPr>
          </w:p>
        </w:tc>
      </w:tr>
      <w:tr w:rsidR="00AB7A08" w:rsidRPr="000C3431" w:rsidTr="00366DE3">
        <w:trPr>
          <w:trHeight w:val="360"/>
          <w:jc w:val="center"/>
        </w:trPr>
        <w:tc>
          <w:tcPr>
            <w:tcW w:w="7727" w:type="dxa"/>
            <w:gridSpan w:val="7"/>
            <w:tcBorders>
              <w:top w:val="single" w:sz="12" w:space="0" w:color="auto"/>
              <w:left w:val="nil"/>
              <w:bottom w:val="nil"/>
              <w:right w:val="nil"/>
            </w:tcBorders>
            <w:shd w:val="clear" w:color="auto" w:fill="auto"/>
            <w:vAlign w:val="center"/>
            <w:hideMark/>
          </w:tcPr>
          <w:p w:rsidR="00AB7A08" w:rsidRPr="000C3431" w:rsidRDefault="00AB7A08" w:rsidP="00AB7A08">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(June ) on the basis of closing London Market Rate.</w:t>
            </w:r>
          </w:p>
        </w:tc>
        <w:tc>
          <w:tcPr>
            <w:tcW w:w="2713" w:type="dxa"/>
            <w:gridSpan w:val="3"/>
            <w:tcBorders>
              <w:top w:val="single" w:sz="12" w:space="0" w:color="auto"/>
              <w:left w:val="nil"/>
              <w:bottom w:val="nil"/>
              <w:right w:val="nil"/>
            </w:tcBorders>
            <w:shd w:val="clear" w:color="auto" w:fill="auto"/>
            <w:vAlign w:val="center"/>
            <w:hideMark/>
          </w:tcPr>
          <w:p w:rsidR="00AB7A08" w:rsidRPr="000C3431" w:rsidRDefault="00AB7A08" w:rsidP="00AB7A08">
            <w:pPr>
              <w:jc w:val="right"/>
              <w:rPr>
                <w:color w:val="auto"/>
                <w:sz w:val="14"/>
                <w:szCs w:val="14"/>
              </w:rPr>
            </w:pPr>
            <w:r w:rsidRPr="000C3431">
              <w:rPr>
                <w:color w:val="auto"/>
                <w:sz w:val="14"/>
                <w:szCs w:val="14"/>
              </w:rPr>
              <w:t>Source: Finance Department SBP</w:t>
            </w:r>
          </w:p>
        </w:tc>
      </w:tr>
      <w:tr w:rsidR="00AB7A08"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AB7A08" w:rsidRPr="000C3431" w:rsidRDefault="00AB7A08" w:rsidP="00AB7A08">
            <w:pPr>
              <w:jc w:val="left"/>
              <w:rPr>
                <w:color w:val="auto"/>
                <w:sz w:val="14"/>
                <w:szCs w:val="14"/>
              </w:rPr>
            </w:pPr>
            <w:r w:rsidRPr="000C3431">
              <w:rPr>
                <w:color w:val="auto"/>
                <w:sz w:val="14"/>
                <w:szCs w:val="14"/>
              </w:rPr>
              <w:t>2.  Approved Foreign Exchanges includes SDR  held  with  IMF  w.e.f  June 2004</w:t>
            </w:r>
          </w:p>
        </w:tc>
      </w:tr>
      <w:tr w:rsidR="00AB7A08"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AB7A08" w:rsidRPr="000C3431" w:rsidRDefault="00AB7A08" w:rsidP="00AB7A08">
            <w:pPr>
              <w:jc w:val="left"/>
              <w:rPr>
                <w:color w:val="auto"/>
                <w:sz w:val="14"/>
                <w:szCs w:val="14"/>
              </w:rPr>
            </w:pPr>
            <w:r w:rsidRPr="000C3431">
              <w:rPr>
                <w:color w:val="auto"/>
                <w:sz w:val="14"/>
                <w:szCs w:val="14"/>
              </w:rPr>
              <w:t>3.  Receivable from Reserve Bank of India.</w:t>
            </w:r>
          </w:p>
        </w:tc>
      </w:tr>
    </w:tbl>
    <w:p w:rsidR="008B2948" w:rsidRDefault="008B2948" w:rsidP="0069571C">
      <w:pPr>
        <w:jc w:val="left"/>
        <w:rPr>
          <w:color w:val="auto"/>
        </w:rPr>
      </w:pPr>
    </w:p>
    <w:p w:rsidR="008E3FA3" w:rsidRPr="00D5469A" w:rsidRDefault="008E3FA3"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434BFD" w:rsidRDefault="00434BFD"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CE7FA4" w:rsidRDefault="00CE7FA4" w:rsidP="0069571C">
      <w:pPr>
        <w:pStyle w:val="Footer"/>
        <w:tabs>
          <w:tab w:val="clear" w:pos="4320"/>
          <w:tab w:val="clear" w:pos="8640"/>
        </w:tabs>
        <w:ind w:left="1440"/>
        <w:rPr>
          <w:color w:val="auto"/>
        </w:rPr>
      </w:pPr>
    </w:p>
    <w:tbl>
      <w:tblPr>
        <w:tblW w:w="10502" w:type="dxa"/>
        <w:jc w:val="center"/>
        <w:tblLook w:val="04A0" w:firstRow="1" w:lastRow="0" w:firstColumn="1" w:lastColumn="0" w:noHBand="0" w:noVBand="1"/>
      </w:tblPr>
      <w:tblGrid>
        <w:gridCol w:w="3224"/>
        <w:gridCol w:w="759"/>
        <w:gridCol w:w="849"/>
        <w:gridCol w:w="810"/>
        <w:gridCol w:w="856"/>
        <w:gridCol w:w="810"/>
        <w:gridCol w:w="810"/>
        <w:gridCol w:w="810"/>
        <w:gridCol w:w="810"/>
        <w:gridCol w:w="764"/>
      </w:tblGrid>
      <w:tr w:rsidR="0000246F" w:rsidRPr="0000246F" w:rsidTr="00261F80">
        <w:trPr>
          <w:trHeight w:val="37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lastRenderedPageBreak/>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261F80">
        <w:trPr>
          <w:trHeight w:val="31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261F80">
        <w:trPr>
          <w:trHeight w:val="207"/>
          <w:jc w:val="center"/>
        </w:trPr>
        <w:tc>
          <w:tcPr>
            <w:tcW w:w="10502"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AB7A08" w:rsidRPr="0000246F" w:rsidTr="00AB7A08">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AB7A08" w:rsidRPr="0000246F" w:rsidRDefault="00AB7A08" w:rsidP="00AB7A08">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AB7A08" w:rsidRPr="00AB7A08" w:rsidRDefault="00AB7A08" w:rsidP="00AB7A08">
            <w:pPr>
              <w:jc w:val="right"/>
              <w:rPr>
                <w:b/>
                <w:bCs/>
                <w:color w:val="auto"/>
                <w:szCs w:val="16"/>
              </w:rPr>
            </w:pPr>
            <w:r w:rsidRPr="00AB7A08">
              <w:rPr>
                <w:b/>
                <w:bCs/>
                <w:color w:val="auto"/>
                <w:szCs w:val="16"/>
              </w:rPr>
              <w:t>FY17</w:t>
            </w:r>
          </w:p>
        </w:tc>
        <w:tc>
          <w:tcPr>
            <w:tcW w:w="849" w:type="dxa"/>
            <w:vMerge w:val="restart"/>
            <w:tcBorders>
              <w:top w:val="single" w:sz="12" w:space="0" w:color="auto"/>
              <w:left w:val="single" w:sz="4" w:space="0" w:color="auto"/>
              <w:right w:val="single" w:sz="4" w:space="0" w:color="auto"/>
            </w:tcBorders>
            <w:shd w:val="clear" w:color="auto" w:fill="auto"/>
            <w:noWrap/>
            <w:vAlign w:val="center"/>
          </w:tcPr>
          <w:p w:rsidR="00AB7A08" w:rsidRPr="00AB7A08" w:rsidRDefault="00AB7A08" w:rsidP="00AB7A08">
            <w:pPr>
              <w:jc w:val="right"/>
              <w:rPr>
                <w:b/>
                <w:bCs/>
                <w:color w:val="auto"/>
                <w:szCs w:val="16"/>
              </w:rPr>
            </w:pPr>
            <w:r w:rsidRPr="00AB7A08">
              <w:rPr>
                <w:b/>
                <w:bCs/>
                <w:color w:val="auto"/>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AB7A08" w:rsidRPr="00AB7A08" w:rsidRDefault="00AB7A08" w:rsidP="00246F19">
            <w:pPr>
              <w:jc w:val="right"/>
              <w:rPr>
                <w:b/>
                <w:bCs/>
                <w:color w:val="auto"/>
                <w:szCs w:val="16"/>
              </w:rPr>
            </w:pPr>
            <w:r w:rsidRPr="00AB7A08">
              <w:rPr>
                <w:b/>
                <w:bCs/>
                <w:color w:val="auto"/>
                <w:szCs w:val="16"/>
              </w:rPr>
              <w:t>FY19</w:t>
            </w:r>
          </w:p>
        </w:tc>
        <w:tc>
          <w:tcPr>
            <w:tcW w:w="1666"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AB7A08" w:rsidRPr="0000246F" w:rsidRDefault="00AB7A08" w:rsidP="00AB7A08">
            <w:pPr>
              <w:rPr>
                <w:b/>
                <w:bCs/>
                <w:color w:val="auto"/>
                <w:szCs w:val="16"/>
              </w:rPr>
            </w:pPr>
            <w:r>
              <w:rPr>
                <w:b/>
                <w:bCs/>
                <w:color w:val="auto"/>
                <w:szCs w:val="16"/>
              </w:rPr>
              <w:t>2018</w:t>
            </w:r>
          </w:p>
        </w:tc>
        <w:tc>
          <w:tcPr>
            <w:tcW w:w="3194" w:type="dxa"/>
            <w:gridSpan w:val="4"/>
            <w:tcBorders>
              <w:top w:val="single" w:sz="12" w:space="0" w:color="auto"/>
              <w:left w:val="single" w:sz="4" w:space="0" w:color="auto"/>
              <w:bottom w:val="single" w:sz="4" w:space="0" w:color="auto"/>
              <w:right w:val="nil"/>
            </w:tcBorders>
            <w:shd w:val="clear" w:color="auto" w:fill="auto"/>
            <w:vAlign w:val="bottom"/>
          </w:tcPr>
          <w:p w:rsidR="00AB7A08" w:rsidRPr="0000246F" w:rsidRDefault="00AB7A08" w:rsidP="00AB7A08">
            <w:pPr>
              <w:rPr>
                <w:b/>
                <w:bCs/>
                <w:color w:val="auto"/>
                <w:szCs w:val="16"/>
              </w:rPr>
            </w:pPr>
            <w:r>
              <w:rPr>
                <w:b/>
                <w:bCs/>
                <w:color w:val="auto"/>
                <w:szCs w:val="16"/>
              </w:rPr>
              <w:t>2019</w:t>
            </w:r>
          </w:p>
        </w:tc>
      </w:tr>
      <w:tr w:rsidR="00AB7A08" w:rsidRPr="0000246F" w:rsidTr="00AB7A08">
        <w:trPr>
          <w:trHeight w:val="240"/>
          <w:jc w:val="center"/>
        </w:trPr>
        <w:tc>
          <w:tcPr>
            <w:tcW w:w="3224" w:type="dxa"/>
            <w:vMerge/>
            <w:tcBorders>
              <w:top w:val="nil"/>
              <w:left w:val="nil"/>
              <w:bottom w:val="single" w:sz="12" w:space="0" w:color="000000"/>
              <w:right w:val="single" w:sz="4" w:space="0" w:color="auto"/>
            </w:tcBorders>
            <w:vAlign w:val="center"/>
            <w:hideMark/>
          </w:tcPr>
          <w:p w:rsidR="00AB7A08" w:rsidRPr="0000246F" w:rsidRDefault="00AB7A08" w:rsidP="00AB7A08">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B7A08" w:rsidRPr="006619BF" w:rsidRDefault="00AB7A08" w:rsidP="00AB7A08">
            <w:pPr>
              <w:jc w:val="right"/>
              <w:rPr>
                <w:b/>
                <w:bCs/>
                <w:color w:val="auto"/>
                <w:sz w:val="14"/>
                <w:szCs w:val="14"/>
              </w:rPr>
            </w:pPr>
          </w:p>
        </w:tc>
        <w:tc>
          <w:tcPr>
            <w:tcW w:w="84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AB7A08" w:rsidRPr="006619BF" w:rsidRDefault="00AB7A08" w:rsidP="00AB7A08">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AB7A08" w:rsidRPr="006619BF" w:rsidRDefault="00AB7A08" w:rsidP="00AB7A08">
            <w:pPr>
              <w:jc w:val="right"/>
              <w:rPr>
                <w:b/>
                <w:bCs/>
                <w:color w:val="auto"/>
                <w:sz w:val="14"/>
                <w:szCs w:val="14"/>
              </w:rPr>
            </w:pP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AB7A08" w:rsidRPr="006619BF" w:rsidRDefault="00AB7A08" w:rsidP="00AB7A08">
            <w:pPr>
              <w:jc w:val="right"/>
              <w:rPr>
                <w:b/>
                <w:color w:val="auto"/>
                <w:sz w:val="14"/>
                <w:szCs w:val="14"/>
              </w:rPr>
            </w:pPr>
            <w:r>
              <w:rPr>
                <w:b/>
                <w:color w:val="auto"/>
                <w:sz w:val="14"/>
                <w:szCs w:val="14"/>
              </w:rPr>
              <w:t>May</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AB7A08" w:rsidRPr="006619BF" w:rsidRDefault="00AB7A08" w:rsidP="00AB7A08">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Apr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AB7A08" w:rsidRPr="006619BF" w:rsidRDefault="00AB7A08" w:rsidP="00AB7A08">
            <w:pPr>
              <w:jc w:val="right"/>
              <w:rPr>
                <w:b/>
                <w:color w:val="auto"/>
                <w:sz w:val="14"/>
                <w:szCs w:val="14"/>
              </w:rPr>
            </w:pPr>
            <w:r>
              <w:rPr>
                <w:b/>
                <w:color w:val="auto"/>
                <w:sz w:val="14"/>
                <w:szCs w:val="14"/>
              </w:rPr>
              <w:t>May</w:t>
            </w:r>
          </w:p>
        </w:tc>
        <w:tc>
          <w:tcPr>
            <w:tcW w:w="764" w:type="dxa"/>
            <w:tcBorders>
              <w:top w:val="single" w:sz="4" w:space="0" w:color="auto"/>
              <w:bottom w:val="single" w:sz="12" w:space="0" w:color="auto"/>
              <w:right w:val="nil"/>
            </w:tcBorders>
            <w:shd w:val="clear" w:color="auto" w:fill="auto"/>
            <w:noWrap/>
            <w:tcMar>
              <w:left w:w="43" w:type="dxa"/>
              <w:right w:w="43" w:type="dxa"/>
            </w:tcMar>
            <w:vAlign w:val="center"/>
          </w:tcPr>
          <w:p w:rsidR="00AB7A08" w:rsidRPr="006619BF" w:rsidRDefault="00AB7A08" w:rsidP="00246F19">
            <w:pPr>
              <w:jc w:val="right"/>
              <w:rPr>
                <w:b/>
                <w:color w:val="auto"/>
                <w:sz w:val="14"/>
                <w:szCs w:val="14"/>
              </w:rPr>
            </w:pPr>
            <w:r>
              <w:rPr>
                <w:b/>
                <w:color w:val="auto"/>
                <w:sz w:val="14"/>
                <w:szCs w:val="14"/>
              </w:rPr>
              <w:t>Jun</w:t>
            </w:r>
          </w:p>
        </w:tc>
      </w:tr>
      <w:tr w:rsidR="00AB7A08" w:rsidRPr="0000246F" w:rsidTr="00AB7A0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AB7A08" w:rsidRPr="0000246F" w:rsidRDefault="00AB7A08" w:rsidP="00AB7A08">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AB7A08" w:rsidRPr="0000246F" w:rsidRDefault="00AB7A08" w:rsidP="00AB7A08">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AB7A08" w:rsidRPr="0000246F" w:rsidRDefault="00AB7A08" w:rsidP="00AB7A08">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AB7A08" w:rsidRPr="0000246F" w:rsidRDefault="00AB7A08" w:rsidP="00AB7A08">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AB7A08" w:rsidRPr="0000246F" w:rsidRDefault="00AB7A08" w:rsidP="00AB7A08">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AB7A08" w:rsidRPr="0000246F" w:rsidRDefault="00AB7A08" w:rsidP="00AB7A08">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AB7A08" w:rsidRPr="0000246F" w:rsidRDefault="00AB7A08" w:rsidP="00AB7A08">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AB7A08" w:rsidRPr="0000246F" w:rsidRDefault="00AB7A08" w:rsidP="00AB7A08">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AB7A08" w:rsidRPr="0000246F" w:rsidRDefault="00AB7A08" w:rsidP="00AB7A08">
            <w:pPr>
              <w:jc w:val="right"/>
              <w:rPr>
                <w:rFonts w:ascii="Calibri" w:hAnsi="Calibri"/>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AB7A08" w:rsidRPr="0000246F" w:rsidRDefault="00AB7A08" w:rsidP="00AB7A08">
            <w:pPr>
              <w:jc w:val="right"/>
              <w:rPr>
                <w:rFonts w:ascii="Calibri" w:hAnsi="Calibri"/>
                <w:sz w:val="22"/>
                <w:szCs w:val="22"/>
              </w:rPr>
            </w:pP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49"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10"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764"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100.0</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89,364.5</w:t>
            </w:r>
          </w:p>
        </w:tc>
        <w:tc>
          <w:tcPr>
            <w:tcW w:w="849"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103,135.7</w:t>
            </w:r>
          </w:p>
        </w:tc>
        <w:tc>
          <w:tcPr>
            <w:tcW w:w="810"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58,135.7</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103,135.7</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103,135.7</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58,135.7</w:t>
            </w:r>
          </w:p>
        </w:tc>
        <w:tc>
          <w:tcPr>
            <w:tcW w:w="764"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58,135.7</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49"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10"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764"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2,600.0</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49"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10"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764"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1,600.0</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49"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10"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764"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1,500.0</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49"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10"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764"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900.0</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49"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10" w:type="dxa"/>
            <w:tcBorders>
              <w:top w:val="nil"/>
              <w:left w:val="nil"/>
              <w:bottom w:val="nil"/>
              <w:right w:val="nil"/>
            </w:tcBorders>
            <w:shd w:val="clear" w:color="auto" w:fill="auto"/>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764" w:type="dxa"/>
            <w:tcBorders>
              <w:top w:val="nil"/>
              <w:left w:val="nil"/>
              <w:bottom w:val="nil"/>
              <w:right w:val="nil"/>
            </w:tcBorders>
            <w:shd w:val="clear" w:color="auto" w:fill="auto"/>
            <w:noWrap/>
            <w:tcMar>
              <w:left w:w="43" w:type="dxa"/>
              <w:right w:w="43" w:type="dxa"/>
            </w:tcMar>
            <w:vAlign w:val="center"/>
          </w:tcPr>
          <w:p w:rsidR="00F81D55" w:rsidRPr="00EB3E11" w:rsidRDefault="00F81D55" w:rsidP="00F81D55">
            <w:pPr>
              <w:jc w:val="right"/>
              <w:rPr>
                <w:rFonts w:asciiTheme="majorBidi" w:hAnsiTheme="majorBidi" w:cstheme="majorBidi"/>
                <w:sz w:val="14"/>
                <w:szCs w:val="14"/>
              </w:rPr>
            </w:pPr>
            <w:r w:rsidRPr="00EB3E11">
              <w:rPr>
                <w:rFonts w:asciiTheme="majorBidi" w:hAnsiTheme="majorBidi" w:cstheme="majorBidi"/>
                <w:sz w:val="14"/>
                <w:szCs w:val="14"/>
              </w:rPr>
              <w:t>4,700.0</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jc w:val="left"/>
              <w:rPr>
                <w:color w:val="auto"/>
                <w:sz w:val="14"/>
              </w:rPr>
            </w:pPr>
            <w:r>
              <w:rPr>
                <w:b/>
                <w:bCs/>
                <w:color w:val="auto"/>
                <w:sz w:val="14"/>
                <w:szCs w:val="14"/>
              </w:rPr>
              <w:t xml:space="preserve">      </w:t>
            </w:r>
            <w:r w:rsidRPr="0000246F">
              <w:rPr>
                <w:b/>
                <w:bCs/>
                <w:color w:val="auto"/>
                <w:sz w:val="14"/>
                <w:szCs w:val="14"/>
              </w:rPr>
              <w:t>D  e  p  o  s  i  t  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1,931,266.0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2,907,186.3</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4,307,760.6</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2,124,675.9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2,907,186.3</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3,402,581.5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3,861,923.7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4,149,832.8</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4,307,760.6</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76,078.5</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803,377.4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347,654.3</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17,917.5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803,377.4</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59,096.6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516,089.2</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806,599.3</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347,654.3</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Provincial Govts.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102,523.4</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67,094.4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209,294.7</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170,149.4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67,094.4</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369,917.2</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331,195.9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265,310.1</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209,294.7</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669,337.5</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832,450.5</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1,282,761.3</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716,538.5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832,450.5</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872,225.6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900,945.5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871,138.9</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1,282,761.3</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1,083,326.5</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1,204,264.0</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2,468,050.3</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1,220,070.5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1,204,264.0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2,101,342.1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2,113,693.1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2,206,784.5</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2,468,050.3</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144,193.0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168,835.9</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225,080.9</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162,179.9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168,835.9</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192,475.9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192,900.4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203,035.7</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225,080.9</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630.5</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710.3</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1,169.8</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645.5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710.3</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1,221.0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1,792.4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1,077.1</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1,169.8</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Re-valuation Account</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358,755.3</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387,297.5</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523,255.7</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389,217.6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387,297.5</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436,778.5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433,626.8</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452,907.5</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523,255.7</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453,416.0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871,945.4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976,452.8</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658,487.8</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871,945.4</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2,056,717.4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1,432,779.1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1,114,791.8</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976,452.8</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2,989,025.2</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4,450,511.1</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6,103,255.3</w:t>
            </w:r>
          </w:p>
        </w:tc>
        <w:tc>
          <w:tcPr>
            <w:tcW w:w="856" w:type="dxa"/>
            <w:tcBorders>
              <w:top w:val="nil"/>
              <w:left w:val="nil"/>
              <w:bottom w:val="nil"/>
              <w:right w:val="nil"/>
            </w:tcBorders>
            <w:shd w:val="clear" w:color="auto" w:fill="auto"/>
            <w:tcMar>
              <w:left w:w="43" w:type="dxa"/>
              <w:right w:w="43" w:type="dxa"/>
            </w:tcMar>
            <w:vAlign w:val="center"/>
            <w:hideMark/>
          </w:tcPr>
          <w:p w:rsidR="00F81D55" w:rsidRDefault="00F81D55" w:rsidP="00F81D55">
            <w:pPr>
              <w:jc w:val="right"/>
              <w:rPr>
                <w:b/>
                <w:bCs/>
                <w:sz w:val="14"/>
                <w:szCs w:val="14"/>
              </w:rPr>
            </w:pPr>
            <w:r>
              <w:rPr>
                <w:b/>
                <w:bCs/>
                <w:sz w:val="14"/>
                <w:szCs w:val="14"/>
              </w:rPr>
              <w:t>3,449,742.4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4,450,511.1</w:t>
            </w:r>
          </w:p>
        </w:tc>
        <w:tc>
          <w:tcPr>
            <w:tcW w:w="810" w:type="dxa"/>
            <w:tcBorders>
              <w:top w:val="nil"/>
              <w:left w:val="nil"/>
              <w:bottom w:val="nil"/>
              <w:right w:val="nil"/>
            </w:tcBorders>
            <w:shd w:val="clear" w:color="auto" w:fill="auto"/>
            <w:tcMar>
              <w:left w:w="43" w:type="dxa"/>
              <w:right w:w="43" w:type="dxa"/>
            </w:tcMar>
            <w:vAlign w:val="center"/>
            <w:hideMark/>
          </w:tcPr>
          <w:p w:rsidR="00F81D55" w:rsidRDefault="00F81D55" w:rsidP="00F81D55">
            <w:pPr>
              <w:jc w:val="right"/>
              <w:rPr>
                <w:b/>
                <w:bCs/>
                <w:sz w:val="14"/>
                <w:szCs w:val="14"/>
              </w:rPr>
            </w:pPr>
            <w:r>
              <w:rPr>
                <w:b/>
                <w:bCs/>
                <w:sz w:val="14"/>
                <w:szCs w:val="14"/>
              </w:rPr>
              <w:t>6,159,310.0</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5,992,558.0</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5,991,180.5</w:t>
            </w:r>
          </w:p>
        </w:tc>
        <w:tc>
          <w:tcPr>
            <w:tcW w:w="764"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6,103,255.3</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jc w:val="left"/>
              <w:rPr>
                <w:b/>
                <w:bCs/>
                <w:color w:val="auto"/>
                <w:sz w:val="14"/>
                <w:szCs w:val="14"/>
              </w:rPr>
            </w:pPr>
            <w:r w:rsidRPr="0000246F">
              <w:rPr>
                <w:b/>
                <w:bCs/>
                <w:color w:val="auto"/>
                <w:sz w:val="14"/>
                <w:szCs w:val="14"/>
              </w:rPr>
              <w:t>A  S  S  E  T  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111.4</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196.7</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198.8</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157.7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196.7</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150.4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101.3</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107.2</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198.8</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37.0</w:t>
            </w:r>
          </w:p>
        </w:tc>
        <w:tc>
          <w:tcPr>
            <w:tcW w:w="849"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3.6</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3.6</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3.6</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33.4</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271,214.7</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1,279,444.4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905,746.1</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1,003,603.3</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1,279,444.4</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973,161.4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911,645.3</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876,909.6</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905,746.1</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12,606.0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33,654.4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21,308.4</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32,327.7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33,654.4</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23,215.5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23,266.7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19,221.4</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21,308.4</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7,279.2</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34,242.4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26,080.8</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28,459.4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34,242.4</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28,542.2</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24,029.9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23,649.5</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26,080.8</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335,148.9</w:t>
            </w:r>
          </w:p>
        </w:tc>
        <w:tc>
          <w:tcPr>
            <w:tcW w:w="849"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423,356.9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563,998.1</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418,326.1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423,356.9</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532,884.1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540,236.9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550,553.1</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563,998.1</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1,216.6</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1,059.8</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1,282.8</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934.7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1,059.8</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1,148.0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1,126.7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1,122.3</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1,282.8</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79,195.9</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113,523.9</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150,079.1</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109,296.4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113,523.9</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139,310.1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141,632.0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146,930.3</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150,079.1</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238,383.0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292,469.4</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386,889.4</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291,791.9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292,469.4</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375,876.6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380,747.1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385,759.5</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386,889.4</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20"/>
              </w:rPr>
            </w:pPr>
            <w:r>
              <w:rPr>
                <w:sz w:val="20"/>
              </w:rPr>
              <w:t>-</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20"/>
              </w:rPr>
            </w:pPr>
            <w:r>
              <w:rPr>
                <w:sz w:val="20"/>
              </w:rPr>
              <w:t>-</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20"/>
              </w:rPr>
            </w:pPr>
            <w:r>
              <w:rPr>
                <w:sz w:val="20"/>
              </w:rPr>
              <w:t>-</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20"/>
              </w:rPr>
            </w:pPr>
            <w:r>
              <w:rPr>
                <w:sz w:val="20"/>
              </w:rPr>
              <w:t>-</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16,353.3</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16,303.7</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25,746.8</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16,303.2</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16,303.7</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16,549.5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16,731.1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16,740.9</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25,746.8</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8,250.2</w:t>
            </w:r>
          </w:p>
        </w:tc>
        <w:tc>
          <w:tcPr>
            <w:tcW w:w="849"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9,940.1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11,742.5</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9,190.6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9,940.1</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11,371.0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11,347.5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11,453.2</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11,742.5</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420.9</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363.7</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279.9</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366.3</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363.7</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301.6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300.0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284.9</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279.9</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7,829.3</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9,576.5</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11,462.5</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8,824.3</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9,576.5</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11,069.4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11,047.4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11,168.3</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11,462.5</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1"/>
              <w:jc w:val="left"/>
              <w:rPr>
                <w:b/>
                <w:bCs/>
                <w:color w:val="auto"/>
                <w:sz w:val="14"/>
                <w:szCs w:val="14"/>
              </w:rPr>
            </w:pPr>
            <w:r w:rsidRPr="0000246F">
              <w:rPr>
                <w:b/>
                <w:bCs/>
                <w:color w:val="auto"/>
                <w:sz w:val="14"/>
              </w:rPr>
              <w:t>Other Loans and Advances (a+b)</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343,399.1</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433,297.0</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b/>
                <w:bCs/>
                <w:sz w:val="14"/>
                <w:szCs w:val="14"/>
              </w:rPr>
            </w:pPr>
            <w:r>
              <w:rPr>
                <w:b/>
                <w:bCs/>
                <w:sz w:val="14"/>
                <w:szCs w:val="14"/>
              </w:rPr>
              <w:t>575,740.6</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427,516.7</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433,297.0</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544,255.1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551,584.3</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562,006.3</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575,740.6</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350,187.9</w:t>
            </w:r>
          </w:p>
        </w:tc>
        <w:tc>
          <w:tcPr>
            <w:tcW w:w="849"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447,386.6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3,075,510.9</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1,070,683.3</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447,386.6</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b/>
                <w:bCs/>
                <w:sz w:val="14"/>
                <w:szCs w:val="14"/>
              </w:rPr>
            </w:pPr>
            <w:r>
              <w:rPr>
                <w:b/>
                <w:bCs/>
                <w:sz w:val="14"/>
                <w:szCs w:val="14"/>
              </w:rPr>
              <w:t>3,774,247.2</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3,663,106.1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2,863,989.3</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b/>
                <w:bCs/>
                <w:sz w:val="14"/>
                <w:szCs w:val="14"/>
              </w:rPr>
            </w:pPr>
            <w:r>
              <w:rPr>
                <w:b/>
                <w:bCs/>
                <w:sz w:val="14"/>
                <w:szCs w:val="14"/>
              </w:rPr>
              <w:t>3,075,510.9</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104,606.5</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90,287.9</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74,289.4</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90,287.9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90,287.9</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77,441.1</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74,289.4</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74,289.4</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74,289.4</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5,381.6</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5,381.6</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5,381.6</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5,381.6</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5,381.6</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177,459.0</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290,005.3</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2,937,442.3</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913,304.9</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290,005.3</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3,632,639.0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3,525,031.8</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2,726,411.8</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2,937,442.3</w:t>
            </w:r>
          </w:p>
        </w:tc>
      </w:tr>
      <w:tr w:rsidR="00F81D55" w:rsidRPr="0000246F" w:rsidTr="00F81D5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81D55" w:rsidRPr="0000246F" w:rsidRDefault="00F81D55" w:rsidP="00F81D55">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62,740.8</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61,711.9</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58,397.6</w:t>
            </w:r>
          </w:p>
        </w:tc>
        <w:tc>
          <w:tcPr>
            <w:tcW w:w="856"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61,709.0</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61,711.9</w:t>
            </w:r>
          </w:p>
        </w:tc>
        <w:tc>
          <w:tcPr>
            <w:tcW w:w="810" w:type="dxa"/>
            <w:tcBorders>
              <w:top w:val="nil"/>
              <w:left w:val="nil"/>
              <w:bottom w:val="nil"/>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58,785.5</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58,403.2</w:t>
            </w:r>
          </w:p>
        </w:tc>
        <w:tc>
          <w:tcPr>
            <w:tcW w:w="810"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57,906.4</w:t>
            </w:r>
          </w:p>
        </w:tc>
        <w:tc>
          <w:tcPr>
            <w:tcW w:w="764" w:type="dxa"/>
            <w:tcBorders>
              <w:top w:val="nil"/>
              <w:left w:val="nil"/>
              <w:bottom w:val="nil"/>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58,397.6</w:t>
            </w:r>
          </w:p>
        </w:tc>
      </w:tr>
      <w:tr w:rsidR="00F81D55" w:rsidRPr="0000246F" w:rsidTr="00F81D55">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F81D55" w:rsidRPr="0000246F" w:rsidRDefault="00F81D55" w:rsidP="00F81D55">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2,004,189.9</w:t>
            </w:r>
          </w:p>
        </w:tc>
        <w:tc>
          <w:tcPr>
            <w:tcW w:w="849"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2,222,286.1</w:t>
            </w:r>
          </w:p>
        </w:tc>
        <w:tc>
          <w:tcPr>
            <w:tcW w:w="810" w:type="dxa"/>
            <w:tcBorders>
              <w:top w:val="nil"/>
              <w:left w:val="nil"/>
              <w:bottom w:val="nil"/>
              <w:right w:val="nil"/>
            </w:tcBorders>
            <w:shd w:val="clear" w:color="auto" w:fill="auto"/>
            <w:tcMar>
              <w:left w:w="43" w:type="dxa"/>
              <w:right w:w="43" w:type="dxa"/>
            </w:tcMar>
            <w:vAlign w:val="center"/>
          </w:tcPr>
          <w:p w:rsidR="00F81D55" w:rsidRDefault="00F81D55" w:rsidP="00F81D55">
            <w:pPr>
              <w:jc w:val="right"/>
              <w:rPr>
                <w:sz w:val="14"/>
                <w:szCs w:val="14"/>
              </w:rPr>
            </w:pPr>
            <w:r>
              <w:rPr>
                <w:sz w:val="14"/>
                <w:szCs w:val="14"/>
              </w:rPr>
              <w:t>1,498,666.3</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886,990.7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2,222,286.1</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F81D55" w:rsidRDefault="00F81D55" w:rsidP="00F81D55">
            <w:pPr>
              <w:jc w:val="right"/>
              <w:rPr>
                <w:sz w:val="14"/>
                <w:szCs w:val="14"/>
              </w:rPr>
            </w:pPr>
            <w:r>
              <w:rPr>
                <w:sz w:val="14"/>
                <w:szCs w:val="14"/>
              </w:rPr>
              <w:t>815,734.6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818,821.0</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1,645,293.8</w:t>
            </w: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F81D55" w:rsidRDefault="00F81D55" w:rsidP="00F81D55">
            <w:pPr>
              <w:jc w:val="right"/>
              <w:rPr>
                <w:sz w:val="14"/>
                <w:szCs w:val="14"/>
              </w:rPr>
            </w:pPr>
            <w:r>
              <w:rPr>
                <w:sz w:val="14"/>
                <w:szCs w:val="14"/>
              </w:rPr>
              <w:t>1,498,666.3</w:t>
            </w:r>
          </w:p>
        </w:tc>
      </w:tr>
      <w:tr w:rsidR="00C95E76" w:rsidRPr="0000246F" w:rsidTr="00261F80">
        <w:trPr>
          <w:trHeight w:val="204"/>
          <w:jc w:val="center"/>
        </w:trPr>
        <w:tc>
          <w:tcPr>
            <w:tcW w:w="10502"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C95E76" w:rsidRDefault="00C95E76" w:rsidP="00C95E76">
            <w:pPr>
              <w:jc w:val="lef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p w:rsidR="00C95E76" w:rsidRPr="0000246F" w:rsidRDefault="00C95E76" w:rsidP="00C95E76">
            <w:pPr>
              <w:jc w:val="left"/>
              <w:rPr>
                <w:color w:val="auto"/>
                <w:sz w:val="14"/>
                <w:szCs w:val="14"/>
              </w:rPr>
            </w:pP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63" w:type="dxa"/>
        <w:jc w:val="center"/>
        <w:tblLook w:val="04A0" w:firstRow="1" w:lastRow="0" w:firstColumn="1" w:lastColumn="0" w:noHBand="0" w:noVBand="1"/>
      </w:tblPr>
      <w:tblGrid>
        <w:gridCol w:w="3420"/>
        <w:gridCol w:w="900"/>
        <w:gridCol w:w="815"/>
        <w:gridCol w:w="780"/>
        <w:gridCol w:w="728"/>
        <w:gridCol w:w="731"/>
        <w:gridCol w:w="723"/>
        <w:gridCol w:w="813"/>
        <w:gridCol w:w="809"/>
        <w:gridCol w:w="744"/>
      </w:tblGrid>
      <w:tr w:rsidR="00B34F49" w:rsidRPr="00B34F49" w:rsidTr="00BB085A">
        <w:trPr>
          <w:trHeight w:val="375"/>
          <w:jc w:val="center"/>
        </w:trPr>
        <w:tc>
          <w:tcPr>
            <w:tcW w:w="10463"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BB085A">
        <w:trPr>
          <w:trHeight w:val="315"/>
          <w:jc w:val="center"/>
        </w:trPr>
        <w:tc>
          <w:tcPr>
            <w:tcW w:w="10463"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BB085A">
        <w:trPr>
          <w:trHeight w:val="315"/>
          <w:jc w:val="center"/>
        </w:trPr>
        <w:tc>
          <w:tcPr>
            <w:tcW w:w="10463"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AB7A08" w:rsidRPr="00B34F49" w:rsidTr="00AB7A08">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AB7A08" w:rsidRPr="005249C8" w:rsidRDefault="00AB7A08" w:rsidP="00AB7A08">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AB7A08" w:rsidRPr="00AB7A08" w:rsidRDefault="00AB7A08" w:rsidP="00AB7A08">
            <w:pPr>
              <w:jc w:val="right"/>
              <w:rPr>
                <w:b/>
                <w:bCs/>
                <w:color w:val="auto"/>
                <w:szCs w:val="16"/>
              </w:rPr>
            </w:pPr>
            <w:r w:rsidRPr="00AB7A08">
              <w:rPr>
                <w:b/>
                <w:bCs/>
                <w:color w:val="auto"/>
                <w:szCs w:val="16"/>
              </w:rPr>
              <w:t>FY17</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AB7A08" w:rsidRPr="00AB7A08" w:rsidRDefault="00AB7A08" w:rsidP="00AB7A08">
            <w:pPr>
              <w:jc w:val="right"/>
              <w:rPr>
                <w:b/>
                <w:bCs/>
                <w:color w:val="auto"/>
                <w:szCs w:val="16"/>
              </w:rPr>
            </w:pPr>
            <w:r w:rsidRPr="00AB7A08">
              <w:rPr>
                <w:b/>
                <w:bCs/>
                <w:color w:val="auto"/>
                <w:szCs w:val="16"/>
              </w:rPr>
              <w:t>FY18</w:t>
            </w:r>
          </w:p>
        </w:tc>
        <w:tc>
          <w:tcPr>
            <w:tcW w:w="780" w:type="dxa"/>
            <w:vMerge w:val="restart"/>
            <w:tcBorders>
              <w:top w:val="single" w:sz="12" w:space="0" w:color="auto"/>
              <w:left w:val="single" w:sz="4" w:space="0" w:color="auto"/>
              <w:right w:val="single" w:sz="4" w:space="0" w:color="auto"/>
            </w:tcBorders>
            <w:shd w:val="clear" w:color="auto" w:fill="auto"/>
            <w:vAlign w:val="center"/>
          </w:tcPr>
          <w:p w:rsidR="00AB7A08" w:rsidRPr="00AB7A08" w:rsidRDefault="00AB7A08" w:rsidP="000A4093">
            <w:pPr>
              <w:jc w:val="right"/>
              <w:rPr>
                <w:b/>
                <w:bCs/>
                <w:color w:val="auto"/>
                <w:szCs w:val="16"/>
              </w:rPr>
            </w:pPr>
            <w:r w:rsidRPr="00AB7A08">
              <w:rPr>
                <w:b/>
                <w:bCs/>
                <w:color w:val="auto"/>
                <w:szCs w:val="16"/>
              </w:rPr>
              <w:t>FY19</w:t>
            </w:r>
          </w:p>
        </w:tc>
        <w:tc>
          <w:tcPr>
            <w:tcW w:w="145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B7A08" w:rsidRPr="006619BF" w:rsidRDefault="00AB7A08" w:rsidP="00AB7A08">
            <w:pPr>
              <w:rPr>
                <w:b/>
                <w:bCs/>
                <w:color w:val="auto"/>
                <w:szCs w:val="16"/>
              </w:rPr>
            </w:pPr>
            <w:r>
              <w:rPr>
                <w:b/>
                <w:bCs/>
                <w:color w:val="auto"/>
                <w:szCs w:val="16"/>
              </w:rPr>
              <w:t>2018</w:t>
            </w:r>
          </w:p>
        </w:tc>
        <w:tc>
          <w:tcPr>
            <w:tcW w:w="3089" w:type="dxa"/>
            <w:gridSpan w:val="4"/>
            <w:tcBorders>
              <w:top w:val="single" w:sz="12" w:space="0" w:color="auto"/>
              <w:left w:val="single" w:sz="4" w:space="0" w:color="auto"/>
              <w:bottom w:val="single" w:sz="4" w:space="0" w:color="auto"/>
              <w:right w:val="nil"/>
            </w:tcBorders>
            <w:shd w:val="clear" w:color="auto" w:fill="auto"/>
            <w:vAlign w:val="center"/>
          </w:tcPr>
          <w:p w:rsidR="00AB7A08" w:rsidRPr="006619BF" w:rsidRDefault="00AB7A08" w:rsidP="00AB7A08">
            <w:pPr>
              <w:rPr>
                <w:b/>
                <w:bCs/>
                <w:color w:val="auto"/>
                <w:szCs w:val="16"/>
              </w:rPr>
            </w:pPr>
            <w:r>
              <w:rPr>
                <w:b/>
                <w:bCs/>
                <w:color w:val="auto"/>
                <w:szCs w:val="16"/>
              </w:rPr>
              <w:t>2019</w:t>
            </w:r>
          </w:p>
        </w:tc>
      </w:tr>
      <w:tr w:rsidR="00ED39A1" w:rsidRPr="00F06977" w:rsidTr="00AB7A08">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ED39A1" w:rsidRPr="00273A44" w:rsidRDefault="00ED39A1" w:rsidP="00ED39A1">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D39A1" w:rsidRPr="006619BF" w:rsidRDefault="00ED39A1" w:rsidP="00ED39A1">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D39A1" w:rsidRPr="006619BF" w:rsidRDefault="00ED39A1" w:rsidP="00ED39A1">
            <w:pPr>
              <w:jc w:val="right"/>
              <w:rPr>
                <w:b/>
                <w:bCs/>
                <w:color w:val="auto"/>
                <w:sz w:val="14"/>
                <w:szCs w:val="14"/>
              </w:rPr>
            </w:pPr>
          </w:p>
        </w:tc>
        <w:tc>
          <w:tcPr>
            <w:tcW w:w="78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D39A1" w:rsidRPr="006619BF" w:rsidRDefault="00ED39A1" w:rsidP="00ED39A1">
            <w:pPr>
              <w:jc w:val="right"/>
              <w:rPr>
                <w:b/>
                <w:bCs/>
                <w:color w:val="auto"/>
                <w:sz w:val="14"/>
                <w:szCs w:val="14"/>
              </w:rPr>
            </w:pPr>
          </w:p>
        </w:tc>
        <w:tc>
          <w:tcPr>
            <w:tcW w:w="72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D39A1" w:rsidRPr="006619BF" w:rsidRDefault="00ED39A1" w:rsidP="00ED39A1">
            <w:pPr>
              <w:jc w:val="right"/>
              <w:rPr>
                <w:b/>
                <w:color w:val="auto"/>
                <w:sz w:val="14"/>
                <w:szCs w:val="14"/>
              </w:rPr>
            </w:pPr>
            <w:r>
              <w:rPr>
                <w:b/>
                <w:color w:val="auto"/>
                <w:sz w:val="14"/>
                <w:szCs w:val="14"/>
              </w:rPr>
              <w:t>Jul</w:t>
            </w:r>
          </w:p>
        </w:tc>
        <w:tc>
          <w:tcPr>
            <w:tcW w:w="731"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D39A1" w:rsidRPr="006619BF" w:rsidRDefault="00ED39A1" w:rsidP="00ED39A1">
            <w:pPr>
              <w:jc w:val="right"/>
              <w:rPr>
                <w:b/>
                <w:color w:val="auto"/>
                <w:sz w:val="14"/>
                <w:szCs w:val="14"/>
              </w:rPr>
            </w:pPr>
            <w:r>
              <w:rPr>
                <w:b/>
                <w:color w:val="auto"/>
                <w:sz w:val="14"/>
                <w:szCs w:val="14"/>
              </w:rPr>
              <w:t>Aug</w:t>
            </w:r>
          </w:p>
        </w:tc>
        <w:tc>
          <w:tcPr>
            <w:tcW w:w="72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D39A1" w:rsidRPr="006619BF" w:rsidRDefault="00ED39A1" w:rsidP="00ED39A1">
            <w:pPr>
              <w:jc w:val="right"/>
              <w:rPr>
                <w:b/>
                <w:color w:val="auto"/>
                <w:sz w:val="14"/>
                <w:szCs w:val="14"/>
              </w:rPr>
            </w:pPr>
            <w:r>
              <w:rPr>
                <w:b/>
                <w:color w:val="auto"/>
                <w:sz w:val="14"/>
                <w:szCs w:val="14"/>
              </w:rPr>
              <w:t>May</w:t>
            </w:r>
          </w:p>
        </w:tc>
        <w:tc>
          <w:tcPr>
            <w:tcW w:w="813" w:type="dxa"/>
            <w:tcBorders>
              <w:top w:val="single" w:sz="4" w:space="0" w:color="auto"/>
              <w:bottom w:val="single" w:sz="12" w:space="0" w:color="auto"/>
            </w:tcBorders>
            <w:shd w:val="clear" w:color="auto" w:fill="auto"/>
            <w:tcMar>
              <w:left w:w="43" w:type="dxa"/>
              <w:right w:w="43" w:type="dxa"/>
            </w:tcMar>
            <w:vAlign w:val="center"/>
          </w:tcPr>
          <w:p w:rsidR="00ED39A1" w:rsidRPr="006619BF" w:rsidRDefault="00ED39A1" w:rsidP="00ED39A1">
            <w:pPr>
              <w:jc w:val="right"/>
              <w:rPr>
                <w:b/>
                <w:color w:val="auto"/>
                <w:sz w:val="14"/>
                <w:szCs w:val="14"/>
              </w:rPr>
            </w:pPr>
            <w:r>
              <w:rPr>
                <w:b/>
                <w:color w:val="auto"/>
                <w:sz w:val="14"/>
                <w:szCs w:val="14"/>
              </w:rPr>
              <w:t>Jun</w:t>
            </w:r>
          </w:p>
        </w:tc>
        <w:tc>
          <w:tcPr>
            <w:tcW w:w="809" w:type="dxa"/>
            <w:tcBorders>
              <w:top w:val="single" w:sz="4" w:space="0" w:color="auto"/>
              <w:bottom w:val="single" w:sz="12" w:space="0" w:color="auto"/>
            </w:tcBorders>
            <w:shd w:val="clear" w:color="auto" w:fill="auto"/>
            <w:tcMar>
              <w:left w:w="43" w:type="dxa"/>
              <w:right w:w="43" w:type="dxa"/>
            </w:tcMar>
            <w:vAlign w:val="center"/>
          </w:tcPr>
          <w:p w:rsidR="00ED39A1" w:rsidRPr="006619BF" w:rsidRDefault="00ED39A1" w:rsidP="00ED39A1">
            <w:pPr>
              <w:jc w:val="right"/>
              <w:rPr>
                <w:b/>
                <w:color w:val="auto"/>
                <w:sz w:val="14"/>
                <w:szCs w:val="14"/>
              </w:rPr>
            </w:pPr>
            <w:r>
              <w:rPr>
                <w:b/>
                <w:color w:val="auto"/>
                <w:sz w:val="14"/>
                <w:szCs w:val="14"/>
              </w:rPr>
              <w:t>Jul</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ED39A1" w:rsidRPr="006619BF" w:rsidRDefault="00ED39A1" w:rsidP="00ED39A1">
            <w:pPr>
              <w:jc w:val="right"/>
              <w:rPr>
                <w:b/>
                <w:color w:val="auto"/>
                <w:sz w:val="14"/>
                <w:szCs w:val="14"/>
              </w:rPr>
            </w:pPr>
            <w:r>
              <w:rPr>
                <w:b/>
                <w:color w:val="auto"/>
                <w:sz w:val="14"/>
                <w:szCs w:val="14"/>
              </w:rPr>
              <w:t>Aug</w:t>
            </w:r>
          </w:p>
        </w:tc>
      </w:tr>
      <w:tr w:rsidR="00ED39A1" w:rsidRPr="00B34F49" w:rsidTr="00AB7A08">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ED39A1" w:rsidRPr="00B34F49" w:rsidRDefault="00ED39A1" w:rsidP="00ED39A1">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ED39A1" w:rsidRPr="00B34F49" w:rsidRDefault="00ED39A1" w:rsidP="00ED39A1">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ED39A1" w:rsidRPr="00B34F49" w:rsidRDefault="00ED39A1" w:rsidP="00ED39A1">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ED39A1" w:rsidRPr="00B34F49" w:rsidRDefault="00ED39A1" w:rsidP="00ED39A1">
            <w:pPr>
              <w:jc w:val="right"/>
              <w:rPr>
                <w:rFonts w:ascii="Calibri" w:hAnsi="Calibri"/>
                <w:sz w:val="22"/>
                <w:szCs w:val="22"/>
              </w:rPr>
            </w:pPr>
          </w:p>
        </w:tc>
        <w:tc>
          <w:tcPr>
            <w:tcW w:w="731" w:type="dxa"/>
            <w:tcBorders>
              <w:top w:val="nil"/>
              <w:left w:val="nil"/>
              <w:bottom w:val="nil"/>
              <w:right w:val="nil"/>
            </w:tcBorders>
            <w:shd w:val="clear" w:color="auto" w:fill="auto"/>
            <w:tcMar>
              <w:left w:w="43" w:type="dxa"/>
              <w:right w:w="43" w:type="dxa"/>
            </w:tcMar>
            <w:vAlign w:val="center"/>
          </w:tcPr>
          <w:p w:rsidR="00ED39A1" w:rsidRPr="00B34F49" w:rsidRDefault="00ED39A1" w:rsidP="00ED39A1">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ED39A1" w:rsidRPr="00B34F49" w:rsidRDefault="00ED39A1" w:rsidP="00ED39A1">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ED39A1" w:rsidRPr="00B34F49" w:rsidRDefault="00ED39A1" w:rsidP="00ED39A1">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ED39A1" w:rsidRPr="00B34F49" w:rsidRDefault="00ED39A1" w:rsidP="00ED39A1">
            <w:pPr>
              <w:jc w:val="right"/>
              <w:rPr>
                <w:rFonts w:ascii="Calibri" w:hAnsi="Calibri"/>
                <w:sz w:val="22"/>
                <w:szCs w:val="22"/>
              </w:rPr>
            </w:pPr>
          </w:p>
        </w:tc>
        <w:tc>
          <w:tcPr>
            <w:tcW w:w="744" w:type="dxa"/>
            <w:tcBorders>
              <w:top w:val="nil"/>
              <w:left w:val="nil"/>
              <w:bottom w:val="nil"/>
              <w:right w:val="nil"/>
            </w:tcBorders>
            <w:shd w:val="clear" w:color="auto" w:fill="auto"/>
            <w:tcMar>
              <w:left w:w="43" w:type="dxa"/>
              <w:right w:w="43" w:type="dxa"/>
            </w:tcMar>
            <w:vAlign w:val="center"/>
          </w:tcPr>
          <w:p w:rsidR="00ED39A1" w:rsidRPr="00B34F49" w:rsidRDefault="00ED39A1" w:rsidP="00ED39A1">
            <w:pPr>
              <w:jc w:val="right"/>
              <w:rPr>
                <w:rFonts w:ascii="Calibri" w:hAnsi="Calibri"/>
                <w:sz w:val="22"/>
                <w:szCs w:val="22"/>
              </w:rPr>
            </w:pP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1,122,866</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1,349,450</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1,966,692</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1,108,366</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1,180,388</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1,436,568</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1,966,692</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1,245,170</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1,397,408</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185,623</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186,038</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195,992</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135,400</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117,992</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179,579</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195,992</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179,362</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196,735</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503,760</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612,681</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717,249</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595,894</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745,106</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826,868</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717,249</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751,829</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739,359</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8,166,143</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8,178,723</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7,624,217</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7,785,159</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6,893,481</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7,299,989</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7,624,217</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8,730,779</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8,018,921</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5,719,604</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6,897,850</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7,608,678</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6,873,969</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6,963,076</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7,534,182</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7,608,678</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7,501,144</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7,497,603</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6,176,306</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7,361,622</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8,096,771</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7,336,045</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7,426,183</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8,021,991</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8,096,771</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7 ,991,185</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7,993,897</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456,701</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463,772</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488,093</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462,075</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463,107</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487,809</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488,093</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490,041</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496,294</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345,652</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417,591</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468,981</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419,358</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419,910</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466,281</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468,981</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500,956</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513,980</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47,428</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52,835</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59,834</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54,613</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55,554</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58,641</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59,834</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59,786</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61,367</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711,952</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715,125</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943,951</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678,647</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668,754</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815,735</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943,951</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836,866</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803,741</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b/>
                <w:bCs/>
                <w:sz w:val="14"/>
                <w:szCs w:val="14"/>
              </w:rPr>
            </w:pPr>
            <w:r>
              <w:rPr>
                <w:b/>
                <w:bCs/>
                <w:sz w:val="14"/>
                <w:szCs w:val="14"/>
              </w:rPr>
              <w:t>16,803,027</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18,410,293</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19,585,594</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b/>
                <w:bCs/>
                <w:sz w:val="14"/>
                <w:szCs w:val="14"/>
              </w:rPr>
            </w:pPr>
            <w:r>
              <w:rPr>
                <w:b/>
                <w:bCs/>
                <w:sz w:val="14"/>
                <w:szCs w:val="14"/>
              </w:rPr>
              <w:t>17,651,407</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17,044,262</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b/>
                <w:bCs/>
                <w:sz w:val="14"/>
                <w:szCs w:val="14"/>
              </w:rPr>
            </w:pPr>
            <w:r>
              <w:rPr>
                <w:b/>
                <w:bCs/>
                <w:sz w:val="14"/>
                <w:szCs w:val="14"/>
              </w:rPr>
              <w:t>18,617,843</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19,585,594</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19,805,892</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19,229,115</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b/>
                <w:bCs/>
                <w:sz w:val="14"/>
                <w:szCs w:val="14"/>
              </w:rPr>
            </w:pP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20"/>
              </w:rPr>
            </w:pP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20"/>
              </w:rPr>
            </w:pP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20"/>
              </w:rPr>
            </w:pP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20"/>
              </w:rPr>
            </w:pP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20"/>
              </w:rPr>
            </w:pP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201,124</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230,357</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299,737</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204,446</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210,140</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273,332</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299,737</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238,312</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216,243</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2,654,899</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3,014,680</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2,412,023</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2,841,612</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2,092,195</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2,565,151</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2,412,023</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3,492,855</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2,650,032</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11,980,697</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13,062,787</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14,458,307</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12,551,434</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12,691,719</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13,459,780</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14,458,307</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13,747,355</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13,977,401</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46,910</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79,460</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108,670</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80,854</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87,851</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112,563</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108,670</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108,670</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117,221</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35</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20</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19</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19</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1</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1,160</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1,160</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35,556</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22,070</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22,591</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18,468</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18,632</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22,225</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22,591</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21,351</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19,368</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446,232</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577,934</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803,227</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523,472</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542,575</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734,138</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803,227</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695,750</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756,775</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b/>
                <w:bCs/>
                <w:sz w:val="14"/>
                <w:szCs w:val="14"/>
              </w:rPr>
            </w:pPr>
            <w:r>
              <w:rPr>
                <w:b/>
                <w:bCs/>
                <w:sz w:val="14"/>
                <w:szCs w:val="14"/>
              </w:rPr>
              <w:t>15,365,453</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16,987,306</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18,104,555</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b/>
                <w:bCs/>
                <w:sz w:val="14"/>
                <w:szCs w:val="14"/>
              </w:rPr>
            </w:pPr>
            <w:r>
              <w:rPr>
                <w:b/>
                <w:bCs/>
                <w:sz w:val="14"/>
                <w:szCs w:val="14"/>
              </w:rPr>
              <w:t>16,220,305</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15,643,131</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b/>
                <w:bCs/>
                <w:sz w:val="14"/>
                <w:szCs w:val="14"/>
              </w:rPr>
            </w:pPr>
            <w:r>
              <w:rPr>
                <w:b/>
                <w:bCs/>
                <w:sz w:val="14"/>
                <w:szCs w:val="14"/>
              </w:rPr>
              <w:t>17,167,190</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18,104,555</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18,305,452</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17,738,199</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b/>
                <w:bCs/>
                <w:sz w:val="14"/>
                <w:szCs w:val="14"/>
              </w:rPr>
            </w:pP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b/>
                <w:bCs/>
                <w:sz w:val="14"/>
                <w:szCs w:val="14"/>
              </w:rPr>
            </w:pPr>
            <w:r>
              <w:rPr>
                <w:b/>
                <w:bCs/>
                <w:sz w:val="14"/>
                <w:szCs w:val="14"/>
              </w:rPr>
              <w:t>1,437,574</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1,422,987</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1,481,039</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b/>
                <w:bCs/>
                <w:sz w:val="14"/>
                <w:szCs w:val="14"/>
              </w:rPr>
            </w:pPr>
            <w:r>
              <w:rPr>
                <w:b/>
                <w:bCs/>
                <w:sz w:val="14"/>
                <w:szCs w:val="14"/>
              </w:rPr>
              <w:t>1,431,102</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1,401,131</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b/>
                <w:bCs/>
                <w:sz w:val="14"/>
                <w:szCs w:val="14"/>
              </w:rPr>
            </w:pPr>
            <w:r>
              <w:rPr>
                <w:b/>
                <w:bCs/>
                <w:sz w:val="14"/>
                <w:szCs w:val="14"/>
              </w:rPr>
              <w:t>1,450,653</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1,481,039</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1,500,440</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1,490,916</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b/>
                <w:bCs/>
                <w:sz w:val="14"/>
                <w:szCs w:val="14"/>
              </w:rPr>
            </w:pP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20"/>
              </w:rPr>
            </w:pP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20"/>
              </w:rPr>
            </w:pP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20"/>
              </w:rPr>
            </w:pP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20"/>
              </w:rPr>
            </w:pP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20"/>
              </w:rPr>
            </w:pP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651,359</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525,796</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546,922</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527,961</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529,177</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543,344</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546,922</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547,802</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547,090</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199,217</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285,610</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340,060</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290,245</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287,742</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333,356</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340,060</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343,257</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330,406</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392,033</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440,846</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480,816</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447,104</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445,708</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460,323</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480,816</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498,401</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500,098</w:t>
            </w:r>
          </w:p>
        </w:tc>
      </w:tr>
      <w:tr w:rsidR="00ED39A1" w:rsidRPr="00B34F49" w:rsidTr="00ED39A1">
        <w:trPr>
          <w:trHeight w:hRule="exact" w:val="202"/>
          <w:jc w:val="center"/>
        </w:trPr>
        <w:tc>
          <w:tcPr>
            <w:tcW w:w="3420" w:type="dxa"/>
            <w:tcBorders>
              <w:top w:val="nil"/>
              <w:left w:val="nil"/>
              <w:bottom w:val="nil"/>
              <w:right w:val="nil"/>
            </w:tcBorders>
            <w:shd w:val="clear" w:color="auto" w:fill="auto"/>
            <w:noWrap/>
            <w:vAlign w:val="center"/>
            <w:hideMark/>
          </w:tcPr>
          <w:p w:rsidR="00ED39A1" w:rsidRPr="00B34F49" w:rsidRDefault="00ED39A1" w:rsidP="00ED39A1">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194,964</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170,736</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113,241</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165,791</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138,503</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113,630</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113,241</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110,980</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113,321</w:t>
            </w:r>
          </w:p>
        </w:tc>
      </w:tr>
      <w:tr w:rsidR="00ED39A1" w:rsidRPr="00B34F49" w:rsidTr="00ED39A1">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ED39A1" w:rsidRPr="00B34F49" w:rsidRDefault="00ED39A1" w:rsidP="00ED39A1">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ED39A1" w:rsidRDefault="00ED39A1" w:rsidP="00ED39A1">
            <w:pPr>
              <w:jc w:val="right"/>
              <w:rPr>
                <w:b/>
                <w:bCs/>
                <w:sz w:val="14"/>
                <w:szCs w:val="14"/>
              </w:rPr>
            </w:pPr>
            <w:r>
              <w:rPr>
                <w:b/>
                <w:bCs/>
                <w:sz w:val="14"/>
                <w:szCs w:val="14"/>
              </w:rPr>
              <w:t>1,437,574</w:t>
            </w:r>
          </w:p>
        </w:tc>
        <w:tc>
          <w:tcPr>
            <w:tcW w:w="815" w:type="dxa"/>
            <w:tcBorders>
              <w:top w:val="nil"/>
              <w:left w:val="nil"/>
              <w:bottom w:val="single" w:sz="12" w:space="0" w:color="auto"/>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1,422,987</w:t>
            </w:r>
          </w:p>
        </w:tc>
        <w:tc>
          <w:tcPr>
            <w:tcW w:w="780" w:type="dxa"/>
            <w:tcBorders>
              <w:top w:val="nil"/>
              <w:left w:val="nil"/>
              <w:bottom w:val="single" w:sz="12" w:space="0" w:color="auto"/>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1,481,039</w:t>
            </w:r>
          </w:p>
        </w:tc>
        <w:tc>
          <w:tcPr>
            <w:tcW w:w="728" w:type="dxa"/>
            <w:tcBorders>
              <w:top w:val="nil"/>
              <w:left w:val="nil"/>
              <w:bottom w:val="single" w:sz="12" w:space="0" w:color="auto"/>
              <w:right w:val="nil"/>
            </w:tcBorders>
            <w:shd w:val="clear" w:color="auto" w:fill="auto"/>
            <w:tcMar>
              <w:left w:w="43" w:type="dxa"/>
              <w:right w:w="43" w:type="dxa"/>
            </w:tcMar>
            <w:vAlign w:val="center"/>
            <w:hideMark/>
          </w:tcPr>
          <w:p w:rsidR="00ED39A1" w:rsidRDefault="00ED39A1" w:rsidP="00ED39A1">
            <w:pPr>
              <w:jc w:val="right"/>
              <w:rPr>
                <w:b/>
                <w:bCs/>
                <w:sz w:val="14"/>
                <w:szCs w:val="14"/>
              </w:rPr>
            </w:pPr>
            <w:r>
              <w:rPr>
                <w:b/>
                <w:bCs/>
                <w:sz w:val="14"/>
                <w:szCs w:val="14"/>
              </w:rPr>
              <w:t>1,431,102</w:t>
            </w:r>
          </w:p>
        </w:tc>
        <w:tc>
          <w:tcPr>
            <w:tcW w:w="731" w:type="dxa"/>
            <w:tcBorders>
              <w:top w:val="nil"/>
              <w:left w:val="nil"/>
              <w:bottom w:val="single" w:sz="12" w:space="0" w:color="auto"/>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1,401,131</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ED39A1" w:rsidRDefault="00ED39A1" w:rsidP="00ED39A1">
            <w:pPr>
              <w:jc w:val="right"/>
              <w:rPr>
                <w:b/>
                <w:bCs/>
                <w:sz w:val="14"/>
                <w:szCs w:val="14"/>
              </w:rPr>
            </w:pPr>
            <w:r>
              <w:rPr>
                <w:b/>
                <w:bCs/>
                <w:sz w:val="14"/>
                <w:szCs w:val="14"/>
              </w:rPr>
              <w:t>1,450,653</w:t>
            </w:r>
          </w:p>
        </w:tc>
        <w:tc>
          <w:tcPr>
            <w:tcW w:w="813" w:type="dxa"/>
            <w:tcBorders>
              <w:top w:val="nil"/>
              <w:left w:val="nil"/>
              <w:bottom w:val="single" w:sz="12" w:space="0" w:color="auto"/>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1,481,039</w:t>
            </w:r>
          </w:p>
        </w:tc>
        <w:tc>
          <w:tcPr>
            <w:tcW w:w="809" w:type="dxa"/>
            <w:tcBorders>
              <w:top w:val="nil"/>
              <w:left w:val="nil"/>
              <w:bottom w:val="single" w:sz="12" w:space="0" w:color="auto"/>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1,500,440</w:t>
            </w:r>
          </w:p>
        </w:tc>
        <w:tc>
          <w:tcPr>
            <w:tcW w:w="744" w:type="dxa"/>
            <w:tcBorders>
              <w:top w:val="nil"/>
              <w:left w:val="nil"/>
              <w:bottom w:val="single" w:sz="12" w:space="0" w:color="auto"/>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1,490,916</w:t>
            </w:r>
          </w:p>
        </w:tc>
      </w:tr>
      <w:tr w:rsidR="00ED39A1" w:rsidRPr="00B34F49" w:rsidTr="00BB085A">
        <w:trPr>
          <w:trHeight w:hRule="exact" w:val="408"/>
          <w:jc w:val="center"/>
        </w:trPr>
        <w:tc>
          <w:tcPr>
            <w:tcW w:w="10463" w:type="dxa"/>
            <w:gridSpan w:val="10"/>
            <w:tcBorders>
              <w:top w:val="nil"/>
              <w:left w:val="nil"/>
              <w:bottom w:val="nil"/>
              <w:right w:val="nil"/>
            </w:tcBorders>
            <w:shd w:val="clear" w:color="auto" w:fill="auto"/>
            <w:noWrap/>
            <w:vAlign w:val="center"/>
            <w:hideMark/>
          </w:tcPr>
          <w:p w:rsidR="00ED39A1" w:rsidRDefault="00ED39A1" w:rsidP="00ED39A1">
            <w:pPr>
              <w:jc w:val="right"/>
              <w:rPr>
                <w:color w:val="auto"/>
                <w:sz w:val="14"/>
                <w:szCs w:val="16"/>
              </w:rPr>
            </w:pPr>
            <w:r w:rsidRPr="00B34F49">
              <w:rPr>
                <w:color w:val="auto"/>
                <w:sz w:val="14"/>
                <w:szCs w:val="16"/>
              </w:rPr>
              <w:t>Source: Off-Site Supervision &amp; Enforcement  Department SBP</w:t>
            </w:r>
          </w:p>
          <w:p w:rsidR="00ED39A1" w:rsidRPr="00B34F49" w:rsidRDefault="00ED39A1" w:rsidP="00ED39A1">
            <w:pPr>
              <w:jc w:val="left"/>
              <w:rPr>
                <w:b/>
                <w:bCs/>
                <w:sz w:val="14"/>
                <w:szCs w:val="14"/>
              </w:rPr>
            </w:pPr>
            <w:r>
              <w:rPr>
                <w:color w:val="auto"/>
                <w:sz w:val="14"/>
                <w:szCs w:val="14"/>
              </w:rPr>
              <w:t>Note: Figures pertain to last week end of every month</w:t>
            </w:r>
          </w:p>
        </w:tc>
      </w:tr>
      <w:tr w:rsidR="00ED39A1" w:rsidRPr="00B34F49" w:rsidTr="00BB085A">
        <w:trPr>
          <w:trHeight w:hRule="exact" w:val="390"/>
          <w:jc w:val="center"/>
        </w:trPr>
        <w:tc>
          <w:tcPr>
            <w:tcW w:w="10463"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ED39A1" w:rsidRPr="00B34F49" w:rsidRDefault="00ED39A1" w:rsidP="00ED39A1">
            <w:pPr>
              <w:rPr>
                <w:b/>
                <w:bCs/>
                <w:sz w:val="28"/>
                <w:szCs w:val="28"/>
              </w:rPr>
            </w:pPr>
            <w:r w:rsidRPr="00B34F49">
              <w:rPr>
                <w:b/>
                <w:bCs/>
                <w:sz w:val="28"/>
                <w:szCs w:val="28"/>
              </w:rPr>
              <w:t>2.12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ED39A1" w:rsidRPr="00B34F49" w:rsidTr="00AE3978">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ED39A1" w:rsidRPr="00B34F49" w:rsidRDefault="00ED39A1" w:rsidP="00ED39A1">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ED39A1" w:rsidRPr="00AB7A08" w:rsidRDefault="00ED39A1" w:rsidP="00ED39A1">
            <w:pPr>
              <w:jc w:val="right"/>
              <w:rPr>
                <w:b/>
                <w:bCs/>
                <w:color w:val="auto"/>
                <w:szCs w:val="16"/>
              </w:rPr>
            </w:pPr>
            <w:r w:rsidRPr="00AB7A08">
              <w:rPr>
                <w:b/>
                <w:bCs/>
                <w:color w:val="auto"/>
                <w:szCs w:val="16"/>
              </w:rPr>
              <w:t>FY17</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ED39A1" w:rsidRPr="00AB7A08" w:rsidRDefault="00ED39A1" w:rsidP="00ED39A1">
            <w:pPr>
              <w:jc w:val="right"/>
              <w:rPr>
                <w:b/>
                <w:bCs/>
                <w:color w:val="auto"/>
                <w:szCs w:val="16"/>
              </w:rPr>
            </w:pPr>
            <w:r w:rsidRPr="00AB7A08">
              <w:rPr>
                <w:b/>
                <w:bCs/>
                <w:color w:val="auto"/>
                <w:szCs w:val="16"/>
              </w:rPr>
              <w:t>FY18</w:t>
            </w:r>
          </w:p>
        </w:tc>
        <w:tc>
          <w:tcPr>
            <w:tcW w:w="780" w:type="dxa"/>
            <w:vMerge w:val="restart"/>
            <w:tcBorders>
              <w:top w:val="single" w:sz="12" w:space="0" w:color="auto"/>
              <w:left w:val="single" w:sz="4" w:space="0" w:color="auto"/>
              <w:right w:val="single" w:sz="4" w:space="0" w:color="auto"/>
            </w:tcBorders>
            <w:shd w:val="clear" w:color="auto" w:fill="auto"/>
            <w:vAlign w:val="center"/>
          </w:tcPr>
          <w:p w:rsidR="00ED39A1" w:rsidRPr="00AB7A08" w:rsidRDefault="00ED39A1" w:rsidP="00ED39A1">
            <w:pPr>
              <w:jc w:val="right"/>
              <w:rPr>
                <w:b/>
                <w:bCs/>
                <w:color w:val="auto"/>
                <w:szCs w:val="16"/>
              </w:rPr>
            </w:pPr>
            <w:r>
              <w:rPr>
                <w:b/>
                <w:bCs/>
                <w:color w:val="auto"/>
                <w:szCs w:val="16"/>
              </w:rPr>
              <w:t>FY19</w:t>
            </w:r>
          </w:p>
        </w:tc>
        <w:tc>
          <w:tcPr>
            <w:tcW w:w="145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ED39A1" w:rsidRPr="006619BF" w:rsidRDefault="00ED39A1" w:rsidP="00ED39A1">
            <w:pPr>
              <w:rPr>
                <w:b/>
                <w:bCs/>
                <w:color w:val="auto"/>
                <w:szCs w:val="16"/>
              </w:rPr>
            </w:pPr>
            <w:r>
              <w:rPr>
                <w:b/>
                <w:bCs/>
                <w:color w:val="auto"/>
                <w:szCs w:val="16"/>
              </w:rPr>
              <w:t>2018</w:t>
            </w:r>
          </w:p>
        </w:tc>
        <w:tc>
          <w:tcPr>
            <w:tcW w:w="3089" w:type="dxa"/>
            <w:gridSpan w:val="4"/>
            <w:tcBorders>
              <w:top w:val="single" w:sz="12" w:space="0" w:color="auto"/>
              <w:left w:val="single" w:sz="4" w:space="0" w:color="auto"/>
              <w:bottom w:val="single" w:sz="4" w:space="0" w:color="auto"/>
              <w:right w:val="nil"/>
            </w:tcBorders>
            <w:shd w:val="clear" w:color="auto" w:fill="auto"/>
            <w:vAlign w:val="center"/>
          </w:tcPr>
          <w:p w:rsidR="00ED39A1" w:rsidRPr="006619BF" w:rsidRDefault="00ED39A1" w:rsidP="00ED39A1">
            <w:pPr>
              <w:rPr>
                <w:b/>
                <w:bCs/>
                <w:color w:val="auto"/>
                <w:szCs w:val="16"/>
              </w:rPr>
            </w:pPr>
            <w:r>
              <w:rPr>
                <w:b/>
                <w:bCs/>
                <w:color w:val="auto"/>
                <w:szCs w:val="16"/>
              </w:rPr>
              <w:t>2019</w:t>
            </w:r>
          </w:p>
        </w:tc>
      </w:tr>
      <w:tr w:rsidR="00ED39A1" w:rsidRPr="00B34F49" w:rsidTr="00AE3978">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ED39A1" w:rsidRPr="00B34F49" w:rsidRDefault="00ED39A1" w:rsidP="00ED39A1">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D39A1" w:rsidRPr="006619BF" w:rsidRDefault="00ED39A1" w:rsidP="00ED39A1">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D39A1" w:rsidRPr="006619BF" w:rsidRDefault="00ED39A1" w:rsidP="00ED39A1">
            <w:pPr>
              <w:jc w:val="right"/>
              <w:rPr>
                <w:b/>
                <w:bCs/>
                <w:color w:val="auto"/>
                <w:sz w:val="14"/>
                <w:szCs w:val="14"/>
              </w:rPr>
            </w:pPr>
          </w:p>
        </w:tc>
        <w:tc>
          <w:tcPr>
            <w:tcW w:w="78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D39A1" w:rsidRPr="006619BF" w:rsidRDefault="00ED39A1" w:rsidP="00ED39A1">
            <w:pPr>
              <w:jc w:val="right"/>
              <w:rPr>
                <w:b/>
                <w:bCs/>
                <w:color w:val="auto"/>
                <w:sz w:val="14"/>
                <w:szCs w:val="14"/>
              </w:rPr>
            </w:pPr>
          </w:p>
        </w:tc>
        <w:tc>
          <w:tcPr>
            <w:tcW w:w="728"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D39A1" w:rsidRPr="006619BF" w:rsidRDefault="00ED39A1" w:rsidP="00ED39A1">
            <w:pPr>
              <w:jc w:val="right"/>
              <w:rPr>
                <w:b/>
                <w:color w:val="auto"/>
                <w:sz w:val="14"/>
                <w:szCs w:val="14"/>
              </w:rPr>
            </w:pPr>
            <w:r>
              <w:rPr>
                <w:b/>
                <w:color w:val="auto"/>
                <w:sz w:val="14"/>
                <w:szCs w:val="14"/>
              </w:rPr>
              <w:t>Jun</w:t>
            </w:r>
          </w:p>
        </w:tc>
        <w:tc>
          <w:tcPr>
            <w:tcW w:w="731"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ED39A1" w:rsidRPr="006619BF" w:rsidRDefault="00ED39A1" w:rsidP="00ED39A1">
            <w:pPr>
              <w:jc w:val="right"/>
              <w:rPr>
                <w:b/>
                <w:color w:val="auto"/>
                <w:sz w:val="14"/>
                <w:szCs w:val="14"/>
              </w:rPr>
            </w:pPr>
            <w:r>
              <w:rPr>
                <w:b/>
                <w:color w:val="auto"/>
                <w:sz w:val="14"/>
                <w:szCs w:val="14"/>
              </w:rPr>
              <w:t>Jul</w:t>
            </w:r>
          </w:p>
        </w:tc>
        <w:tc>
          <w:tcPr>
            <w:tcW w:w="723"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D39A1" w:rsidRPr="006619BF" w:rsidRDefault="00ED39A1" w:rsidP="00ED39A1">
            <w:pPr>
              <w:jc w:val="right"/>
              <w:rPr>
                <w:b/>
                <w:color w:val="auto"/>
                <w:sz w:val="14"/>
                <w:szCs w:val="14"/>
              </w:rPr>
            </w:pPr>
            <w:r>
              <w:rPr>
                <w:b/>
                <w:color w:val="auto"/>
                <w:sz w:val="14"/>
                <w:szCs w:val="14"/>
              </w:rPr>
              <w:t>Apr</w:t>
            </w:r>
          </w:p>
        </w:tc>
        <w:tc>
          <w:tcPr>
            <w:tcW w:w="813" w:type="dxa"/>
            <w:tcBorders>
              <w:top w:val="single" w:sz="4" w:space="0" w:color="auto"/>
              <w:bottom w:val="single" w:sz="12" w:space="0" w:color="auto"/>
            </w:tcBorders>
            <w:shd w:val="clear" w:color="auto" w:fill="auto"/>
            <w:noWrap/>
            <w:tcMar>
              <w:left w:w="43" w:type="dxa"/>
              <w:right w:w="43" w:type="dxa"/>
            </w:tcMar>
            <w:vAlign w:val="center"/>
          </w:tcPr>
          <w:p w:rsidR="00ED39A1" w:rsidRPr="006619BF" w:rsidRDefault="00ED39A1" w:rsidP="00ED39A1">
            <w:pPr>
              <w:jc w:val="right"/>
              <w:rPr>
                <w:b/>
                <w:color w:val="auto"/>
                <w:sz w:val="14"/>
                <w:szCs w:val="14"/>
              </w:rPr>
            </w:pPr>
            <w:r>
              <w:rPr>
                <w:b/>
                <w:color w:val="auto"/>
                <w:sz w:val="14"/>
                <w:szCs w:val="14"/>
              </w:rPr>
              <w:t>May</w:t>
            </w:r>
          </w:p>
        </w:tc>
        <w:tc>
          <w:tcPr>
            <w:tcW w:w="809" w:type="dxa"/>
            <w:tcBorders>
              <w:top w:val="single" w:sz="4" w:space="0" w:color="auto"/>
              <w:bottom w:val="single" w:sz="12" w:space="0" w:color="auto"/>
            </w:tcBorders>
            <w:shd w:val="clear" w:color="auto" w:fill="auto"/>
            <w:noWrap/>
            <w:tcMar>
              <w:left w:w="43" w:type="dxa"/>
              <w:right w:w="43" w:type="dxa"/>
            </w:tcMar>
            <w:vAlign w:val="center"/>
          </w:tcPr>
          <w:p w:rsidR="00ED39A1" w:rsidRPr="006619BF" w:rsidRDefault="00ED39A1" w:rsidP="00ED39A1">
            <w:pPr>
              <w:jc w:val="right"/>
              <w:rPr>
                <w:b/>
                <w:color w:val="auto"/>
                <w:sz w:val="14"/>
                <w:szCs w:val="14"/>
              </w:rPr>
            </w:pPr>
            <w:r>
              <w:rPr>
                <w:b/>
                <w:color w:val="auto"/>
                <w:sz w:val="14"/>
                <w:szCs w:val="14"/>
              </w:rPr>
              <w:t>Jun</w:t>
            </w:r>
          </w:p>
        </w:tc>
        <w:tc>
          <w:tcPr>
            <w:tcW w:w="744" w:type="dxa"/>
            <w:tcBorders>
              <w:top w:val="single" w:sz="4" w:space="0" w:color="auto"/>
              <w:bottom w:val="single" w:sz="12" w:space="0" w:color="auto"/>
              <w:right w:val="nil"/>
            </w:tcBorders>
            <w:shd w:val="clear" w:color="auto" w:fill="auto"/>
            <w:noWrap/>
            <w:tcMar>
              <w:left w:w="43" w:type="dxa"/>
              <w:right w:w="43" w:type="dxa"/>
            </w:tcMar>
            <w:vAlign w:val="center"/>
          </w:tcPr>
          <w:p w:rsidR="00ED39A1" w:rsidRPr="006619BF" w:rsidRDefault="00ED39A1" w:rsidP="00ED39A1">
            <w:pPr>
              <w:jc w:val="right"/>
              <w:rPr>
                <w:b/>
                <w:color w:val="auto"/>
                <w:sz w:val="14"/>
                <w:szCs w:val="14"/>
              </w:rPr>
            </w:pPr>
            <w:r>
              <w:rPr>
                <w:b/>
                <w:color w:val="auto"/>
                <w:sz w:val="14"/>
                <w:szCs w:val="14"/>
              </w:rPr>
              <w:t>Jul</w:t>
            </w:r>
          </w:p>
        </w:tc>
      </w:tr>
      <w:tr w:rsidR="00ED39A1" w:rsidRPr="00B34F49" w:rsidTr="00ED39A1">
        <w:trPr>
          <w:trHeight w:hRule="exact" w:val="327"/>
          <w:jc w:val="center"/>
        </w:trPr>
        <w:tc>
          <w:tcPr>
            <w:tcW w:w="3420" w:type="dxa"/>
            <w:tcBorders>
              <w:top w:val="nil"/>
              <w:left w:val="nil"/>
              <w:bottom w:val="nil"/>
              <w:right w:val="nil"/>
            </w:tcBorders>
            <w:shd w:val="clear" w:color="auto" w:fill="auto"/>
            <w:vAlign w:val="center"/>
            <w:hideMark/>
          </w:tcPr>
          <w:p w:rsidR="00ED39A1" w:rsidRPr="00B34F49" w:rsidRDefault="00ED39A1" w:rsidP="00ED39A1">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10,519,911</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11,397,954</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12,928,902</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11,397,954</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10,889,730</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11,453,350</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11,987,140</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12,928,902</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12,029,310</w:t>
            </w:r>
          </w:p>
        </w:tc>
      </w:tr>
      <w:tr w:rsidR="00ED39A1" w:rsidRPr="00B34F49" w:rsidTr="00ED39A1">
        <w:trPr>
          <w:trHeight w:hRule="exact" w:val="324"/>
          <w:jc w:val="center"/>
        </w:trPr>
        <w:tc>
          <w:tcPr>
            <w:tcW w:w="3420" w:type="dxa"/>
            <w:tcBorders>
              <w:top w:val="nil"/>
              <w:left w:val="nil"/>
              <w:bottom w:val="nil"/>
              <w:right w:val="nil"/>
            </w:tcBorders>
            <w:shd w:val="clear" w:color="auto" w:fill="auto"/>
            <w:vAlign w:val="center"/>
            <w:hideMark/>
          </w:tcPr>
          <w:p w:rsidR="00ED39A1" w:rsidRPr="00B34F49" w:rsidRDefault="00ED39A1" w:rsidP="00ED39A1">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1,254,315</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1,498,250</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1,429,689</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1,498,250</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1,411,308</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1,447,093</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1,417,031</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1,429,689</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1,429,036</w:t>
            </w:r>
          </w:p>
        </w:tc>
      </w:tr>
      <w:tr w:rsidR="00ED39A1" w:rsidRPr="00B34F49" w:rsidTr="00ED39A1">
        <w:trPr>
          <w:trHeight w:hRule="exact" w:val="360"/>
          <w:jc w:val="center"/>
        </w:trPr>
        <w:tc>
          <w:tcPr>
            <w:tcW w:w="3420" w:type="dxa"/>
            <w:tcBorders>
              <w:top w:val="nil"/>
              <w:left w:val="nil"/>
              <w:bottom w:val="nil"/>
              <w:right w:val="nil"/>
            </w:tcBorders>
            <w:shd w:val="clear" w:color="auto" w:fill="auto"/>
            <w:vAlign w:val="center"/>
            <w:hideMark/>
          </w:tcPr>
          <w:p w:rsidR="00ED39A1" w:rsidRPr="00B34F49" w:rsidRDefault="00ED39A1" w:rsidP="00ED39A1">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11,774,226</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12,896,204</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14,358,591</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b/>
                <w:bCs/>
                <w:sz w:val="14"/>
                <w:szCs w:val="14"/>
              </w:rPr>
            </w:pPr>
            <w:r>
              <w:rPr>
                <w:b/>
                <w:bCs/>
                <w:sz w:val="14"/>
                <w:szCs w:val="14"/>
              </w:rPr>
              <w:t>12,896,204</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12,301,038</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b/>
                <w:bCs/>
                <w:sz w:val="14"/>
                <w:szCs w:val="14"/>
              </w:rPr>
            </w:pPr>
            <w:r>
              <w:rPr>
                <w:b/>
                <w:bCs/>
                <w:sz w:val="14"/>
                <w:szCs w:val="14"/>
              </w:rPr>
              <w:t>12,900,443</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13,404,171</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14,358,591</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13,458,346</w:t>
            </w:r>
          </w:p>
        </w:tc>
      </w:tr>
      <w:tr w:rsidR="00ED39A1" w:rsidRPr="00B34F49" w:rsidTr="00ED39A1">
        <w:trPr>
          <w:trHeight w:hRule="exact" w:val="360"/>
          <w:jc w:val="center"/>
        </w:trPr>
        <w:tc>
          <w:tcPr>
            <w:tcW w:w="3420" w:type="dxa"/>
            <w:tcBorders>
              <w:top w:val="nil"/>
              <w:left w:val="nil"/>
              <w:bottom w:val="nil"/>
              <w:right w:val="nil"/>
            </w:tcBorders>
            <w:shd w:val="clear" w:color="auto" w:fill="auto"/>
            <w:vAlign w:val="center"/>
            <w:hideMark/>
          </w:tcPr>
          <w:p w:rsidR="00ED39A1" w:rsidRPr="00B34F49" w:rsidRDefault="00ED39A1" w:rsidP="00ED39A1">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5,359,170</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6,166,451</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7,213,730</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b/>
                <w:bCs/>
                <w:sz w:val="14"/>
                <w:szCs w:val="14"/>
              </w:rPr>
            </w:pPr>
            <w:r>
              <w:rPr>
                <w:b/>
                <w:bCs/>
                <w:sz w:val="14"/>
                <w:szCs w:val="14"/>
              </w:rPr>
              <w:t>6,166,451</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5,707,570</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b/>
                <w:bCs/>
                <w:sz w:val="14"/>
                <w:szCs w:val="14"/>
              </w:rPr>
            </w:pPr>
            <w:r>
              <w:rPr>
                <w:b/>
                <w:bCs/>
                <w:sz w:val="14"/>
                <w:szCs w:val="14"/>
              </w:rPr>
              <w:t>5,553,924</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6,206,381</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7,213,730</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b/>
                <w:bCs/>
                <w:sz w:val="14"/>
                <w:szCs w:val="14"/>
              </w:rPr>
            </w:pPr>
            <w:r>
              <w:rPr>
                <w:b/>
                <w:bCs/>
                <w:sz w:val="14"/>
                <w:szCs w:val="14"/>
              </w:rPr>
              <w:t>6,416,824</w:t>
            </w:r>
          </w:p>
        </w:tc>
      </w:tr>
      <w:tr w:rsidR="00ED39A1" w:rsidRPr="00B34F49" w:rsidTr="00ED39A1">
        <w:trPr>
          <w:trHeight w:hRule="exact" w:val="270"/>
          <w:jc w:val="center"/>
        </w:trPr>
        <w:tc>
          <w:tcPr>
            <w:tcW w:w="3420" w:type="dxa"/>
            <w:tcBorders>
              <w:top w:val="nil"/>
              <w:left w:val="nil"/>
              <w:bottom w:val="nil"/>
              <w:right w:val="nil"/>
            </w:tcBorders>
            <w:shd w:val="clear" w:color="auto" w:fill="auto"/>
            <w:vAlign w:val="center"/>
            <w:hideMark/>
          </w:tcPr>
          <w:p w:rsidR="00ED39A1" w:rsidRPr="00B34F49" w:rsidRDefault="00ED39A1" w:rsidP="00ED39A1">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294,115</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300,473</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414,380</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300,473</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265,854</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289,063</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434,474</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414,380</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325,229</w:t>
            </w:r>
          </w:p>
        </w:tc>
      </w:tr>
      <w:tr w:rsidR="00ED39A1" w:rsidRPr="00B34F49" w:rsidTr="00ED39A1">
        <w:trPr>
          <w:trHeight w:hRule="exact" w:val="270"/>
          <w:jc w:val="center"/>
        </w:trPr>
        <w:tc>
          <w:tcPr>
            <w:tcW w:w="3420" w:type="dxa"/>
            <w:tcBorders>
              <w:top w:val="nil"/>
              <w:left w:val="nil"/>
              <w:bottom w:val="nil"/>
              <w:right w:val="nil"/>
            </w:tcBorders>
            <w:shd w:val="clear" w:color="auto" w:fill="auto"/>
            <w:vAlign w:val="center"/>
            <w:hideMark/>
          </w:tcPr>
          <w:p w:rsidR="00ED39A1" w:rsidRPr="00B34F49" w:rsidRDefault="00ED39A1" w:rsidP="00ED39A1">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502,760</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595,456</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986,670</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595,456</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556,311</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476,899</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596,294</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986,670</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555,810</w:t>
            </w:r>
          </w:p>
        </w:tc>
      </w:tr>
      <w:tr w:rsidR="00ED39A1" w:rsidRPr="00B34F49" w:rsidTr="00ED39A1">
        <w:trPr>
          <w:trHeight w:hRule="exact" w:val="315"/>
          <w:jc w:val="center"/>
        </w:trPr>
        <w:tc>
          <w:tcPr>
            <w:tcW w:w="3420" w:type="dxa"/>
            <w:tcBorders>
              <w:top w:val="nil"/>
              <w:left w:val="nil"/>
              <w:bottom w:val="nil"/>
              <w:right w:val="nil"/>
            </w:tcBorders>
            <w:shd w:val="clear" w:color="auto" w:fill="auto"/>
            <w:vAlign w:val="center"/>
            <w:hideMark/>
          </w:tcPr>
          <w:p w:rsidR="00ED39A1" w:rsidRPr="00B34F49" w:rsidRDefault="00ED39A1" w:rsidP="00ED39A1">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178,083</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252,778</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278,359</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252,778</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72,548</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52,341</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143,081</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278,359</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76,226</w:t>
            </w:r>
          </w:p>
        </w:tc>
      </w:tr>
      <w:tr w:rsidR="00ED39A1" w:rsidRPr="00B34F49" w:rsidTr="00ED39A1">
        <w:trPr>
          <w:trHeight w:hRule="exact" w:val="279"/>
          <w:jc w:val="center"/>
        </w:trPr>
        <w:tc>
          <w:tcPr>
            <w:tcW w:w="3420" w:type="dxa"/>
            <w:tcBorders>
              <w:top w:val="nil"/>
              <w:left w:val="nil"/>
              <w:bottom w:val="nil"/>
              <w:right w:val="nil"/>
            </w:tcBorders>
            <w:shd w:val="clear" w:color="auto" w:fill="auto"/>
            <w:vAlign w:val="center"/>
            <w:hideMark/>
          </w:tcPr>
          <w:p w:rsidR="00ED39A1" w:rsidRPr="00B34F49" w:rsidRDefault="00ED39A1" w:rsidP="00ED39A1">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4,365,694</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4,986,751</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5,486,577</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4,986,751</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4,780,199</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4,691,607</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4,987,198</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5,486,577</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5,410,935</w:t>
            </w:r>
          </w:p>
        </w:tc>
      </w:tr>
      <w:tr w:rsidR="00ED39A1" w:rsidRPr="00B34F49" w:rsidTr="00ED39A1">
        <w:trPr>
          <w:trHeight w:hRule="exact" w:val="324"/>
          <w:jc w:val="center"/>
        </w:trPr>
        <w:tc>
          <w:tcPr>
            <w:tcW w:w="3420" w:type="dxa"/>
            <w:tcBorders>
              <w:top w:val="nil"/>
              <w:left w:val="nil"/>
              <w:bottom w:val="nil"/>
              <w:right w:val="nil"/>
            </w:tcBorders>
            <w:shd w:val="clear" w:color="auto" w:fill="auto"/>
            <w:vAlign w:val="center"/>
            <w:hideMark/>
          </w:tcPr>
          <w:p w:rsidR="00ED39A1" w:rsidRPr="007E3CF2" w:rsidRDefault="00ED39A1" w:rsidP="00ED39A1">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18,288</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30,963</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47,744</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30,963</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32,628</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44,014</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45,334</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47,744</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48,624</w:t>
            </w:r>
          </w:p>
        </w:tc>
      </w:tr>
      <w:tr w:rsidR="00ED39A1" w:rsidRPr="00B34F49" w:rsidTr="00ED39A1">
        <w:trPr>
          <w:trHeight w:hRule="exact" w:val="243"/>
          <w:jc w:val="center"/>
        </w:trPr>
        <w:tc>
          <w:tcPr>
            <w:tcW w:w="3420" w:type="dxa"/>
            <w:tcBorders>
              <w:top w:val="nil"/>
              <w:left w:val="nil"/>
              <w:bottom w:val="nil"/>
              <w:right w:val="nil"/>
            </w:tcBorders>
            <w:shd w:val="clear" w:color="auto" w:fill="auto"/>
            <w:vAlign w:val="center"/>
            <w:hideMark/>
          </w:tcPr>
          <w:p w:rsidR="00ED39A1" w:rsidRPr="00B34F49" w:rsidRDefault="00ED39A1" w:rsidP="00ED39A1">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30</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30</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30</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w:t>
            </w:r>
          </w:p>
        </w:tc>
      </w:tr>
      <w:tr w:rsidR="00ED39A1" w:rsidRPr="00B34F49" w:rsidTr="00ED39A1">
        <w:trPr>
          <w:trHeight w:hRule="exact" w:val="315"/>
          <w:jc w:val="center"/>
        </w:trPr>
        <w:tc>
          <w:tcPr>
            <w:tcW w:w="3420" w:type="dxa"/>
            <w:tcBorders>
              <w:top w:val="nil"/>
              <w:left w:val="nil"/>
              <w:bottom w:val="nil"/>
              <w:right w:val="nil"/>
            </w:tcBorders>
            <w:shd w:val="clear" w:color="auto" w:fill="auto"/>
            <w:vAlign w:val="center"/>
            <w:hideMark/>
          </w:tcPr>
          <w:p w:rsidR="00ED39A1" w:rsidRPr="00B34F49" w:rsidRDefault="00ED39A1" w:rsidP="00ED39A1">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2,449,848</w:t>
            </w:r>
          </w:p>
        </w:tc>
        <w:tc>
          <w:tcPr>
            <w:tcW w:w="815"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2,646,420</w:t>
            </w:r>
          </w:p>
        </w:tc>
        <w:tc>
          <w:tcPr>
            <w:tcW w:w="780"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2,996,069</w:t>
            </w:r>
          </w:p>
        </w:tc>
        <w:tc>
          <w:tcPr>
            <w:tcW w:w="728"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2,646,420</w:t>
            </w:r>
          </w:p>
        </w:tc>
        <w:tc>
          <w:tcPr>
            <w:tcW w:w="731"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2,526,595</w:t>
            </w:r>
          </w:p>
        </w:tc>
        <w:tc>
          <w:tcPr>
            <w:tcW w:w="723" w:type="dxa"/>
            <w:tcBorders>
              <w:top w:val="nil"/>
              <w:left w:val="nil"/>
              <w:bottom w:val="nil"/>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2,653,659</w:t>
            </w:r>
          </w:p>
        </w:tc>
        <w:tc>
          <w:tcPr>
            <w:tcW w:w="813"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2,777,977</w:t>
            </w:r>
          </w:p>
        </w:tc>
        <w:tc>
          <w:tcPr>
            <w:tcW w:w="809"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2,996,069</w:t>
            </w:r>
          </w:p>
        </w:tc>
        <w:tc>
          <w:tcPr>
            <w:tcW w:w="744" w:type="dxa"/>
            <w:tcBorders>
              <w:top w:val="nil"/>
              <w:left w:val="nil"/>
              <w:bottom w:val="nil"/>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2,786,219</w:t>
            </w:r>
          </w:p>
        </w:tc>
      </w:tr>
      <w:tr w:rsidR="00ED39A1" w:rsidRPr="00B34F49" w:rsidTr="00ED39A1">
        <w:trPr>
          <w:trHeight w:hRule="exact" w:val="405"/>
          <w:jc w:val="center"/>
        </w:trPr>
        <w:tc>
          <w:tcPr>
            <w:tcW w:w="3420" w:type="dxa"/>
            <w:tcBorders>
              <w:top w:val="nil"/>
              <w:left w:val="nil"/>
              <w:bottom w:val="single" w:sz="12" w:space="0" w:color="auto"/>
              <w:right w:val="nil"/>
            </w:tcBorders>
            <w:shd w:val="clear" w:color="auto" w:fill="auto"/>
            <w:vAlign w:val="center"/>
            <w:hideMark/>
          </w:tcPr>
          <w:p w:rsidR="00ED39A1" w:rsidRPr="00B34F49" w:rsidRDefault="00ED39A1" w:rsidP="00ED39A1">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2,909,323</w:t>
            </w:r>
          </w:p>
        </w:tc>
        <w:tc>
          <w:tcPr>
            <w:tcW w:w="815" w:type="dxa"/>
            <w:tcBorders>
              <w:top w:val="nil"/>
              <w:left w:val="nil"/>
              <w:bottom w:val="single" w:sz="12" w:space="0" w:color="auto"/>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3,520,031</w:t>
            </w:r>
          </w:p>
        </w:tc>
        <w:tc>
          <w:tcPr>
            <w:tcW w:w="780" w:type="dxa"/>
            <w:tcBorders>
              <w:top w:val="nil"/>
              <w:left w:val="nil"/>
              <w:bottom w:val="single" w:sz="12" w:space="0" w:color="auto"/>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4,217,661</w:t>
            </w:r>
          </w:p>
        </w:tc>
        <w:tc>
          <w:tcPr>
            <w:tcW w:w="728" w:type="dxa"/>
            <w:tcBorders>
              <w:top w:val="nil"/>
              <w:left w:val="nil"/>
              <w:bottom w:val="single" w:sz="12" w:space="0" w:color="auto"/>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3,520,031</w:t>
            </w:r>
          </w:p>
        </w:tc>
        <w:tc>
          <w:tcPr>
            <w:tcW w:w="731" w:type="dxa"/>
            <w:tcBorders>
              <w:top w:val="nil"/>
              <w:left w:val="nil"/>
              <w:bottom w:val="single" w:sz="12" w:space="0" w:color="auto"/>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3,180,975</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ED39A1" w:rsidRDefault="00ED39A1" w:rsidP="00ED39A1">
            <w:pPr>
              <w:jc w:val="right"/>
              <w:rPr>
                <w:sz w:val="14"/>
                <w:szCs w:val="14"/>
              </w:rPr>
            </w:pPr>
            <w:r>
              <w:rPr>
                <w:sz w:val="14"/>
                <w:szCs w:val="14"/>
              </w:rPr>
              <w:t>2,900,266</w:t>
            </w:r>
          </w:p>
        </w:tc>
        <w:tc>
          <w:tcPr>
            <w:tcW w:w="813" w:type="dxa"/>
            <w:tcBorders>
              <w:top w:val="nil"/>
              <w:left w:val="nil"/>
              <w:bottom w:val="single" w:sz="12" w:space="0" w:color="auto"/>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3,428,404</w:t>
            </w:r>
          </w:p>
        </w:tc>
        <w:tc>
          <w:tcPr>
            <w:tcW w:w="809" w:type="dxa"/>
            <w:tcBorders>
              <w:top w:val="nil"/>
              <w:left w:val="nil"/>
              <w:bottom w:val="single" w:sz="12" w:space="0" w:color="auto"/>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4,217,661</w:t>
            </w:r>
          </w:p>
        </w:tc>
        <w:tc>
          <w:tcPr>
            <w:tcW w:w="744" w:type="dxa"/>
            <w:tcBorders>
              <w:top w:val="nil"/>
              <w:left w:val="nil"/>
              <w:bottom w:val="single" w:sz="12" w:space="0" w:color="auto"/>
              <w:right w:val="nil"/>
            </w:tcBorders>
            <w:shd w:val="clear" w:color="auto" w:fill="auto"/>
            <w:tcMar>
              <w:left w:w="43" w:type="dxa"/>
              <w:right w:w="43" w:type="dxa"/>
            </w:tcMar>
            <w:vAlign w:val="center"/>
          </w:tcPr>
          <w:p w:rsidR="00ED39A1" w:rsidRDefault="00ED39A1" w:rsidP="00ED39A1">
            <w:pPr>
              <w:jc w:val="right"/>
              <w:rPr>
                <w:sz w:val="14"/>
                <w:szCs w:val="14"/>
              </w:rPr>
            </w:pPr>
            <w:r>
              <w:rPr>
                <w:sz w:val="14"/>
                <w:szCs w:val="14"/>
              </w:rPr>
              <w:t>3,630,604</w:t>
            </w:r>
          </w:p>
        </w:tc>
      </w:tr>
      <w:tr w:rsidR="00ED39A1" w:rsidRPr="00B34F49" w:rsidTr="00BB085A">
        <w:trPr>
          <w:trHeight w:val="177"/>
          <w:jc w:val="center"/>
        </w:trPr>
        <w:tc>
          <w:tcPr>
            <w:tcW w:w="3420" w:type="dxa"/>
            <w:tcBorders>
              <w:top w:val="nil"/>
              <w:left w:val="nil"/>
              <w:bottom w:val="nil"/>
              <w:right w:val="nil"/>
            </w:tcBorders>
            <w:shd w:val="clear" w:color="auto" w:fill="auto"/>
            <w:noWrap/>
            <w:vAlign w:val="bottom"/>
            <w:hideMark/>
          </w:tcPr>
          <w:p w:rsidR="00ED39A1" w:rsidRPr="00B34F49" w:rsidRDefault="00ED39A1" w:rsidP="00ED39A1">
            <w:pPr>
              <w:jc w:val="left"/>
              <w:rPr>
                <w:sz w:val="14"/>
                <w:szCs w:val="14"/>
              </w:rPr>
            </w:pPr>
          </w:p>
        </w:tc>
        <w:tc>
          <w:tcPr>
            <w:tcW w:w="7043" w:type="dxa"/>
            <w:gridSpan w:val="9"/>
            <w:tcBorders>
              <w:top w:val="single" w:sz="12" w:space="0" w:color="auto"/>
              <w:left w:val="nil"/>
              <w:bottom w:val="nil"/>
              <w:right w:val="nil"/>
            </w:tcBorders>
            <w:shd w:val="clear" w:color="auto" w:fill="auto"/>
            <w:noWrap/>
            <w:vAlign w:val="bottom"/>
            <w:hideMark/>
          </w:tcPr>
          <w:p w:rsidR="00ED39A1" w:rsidRPr="00B34F49" w:rsidRDefault="00ED39A1" w:rsidP="00ED39A1">
            <w:pPr>
              <w:jc w:val="right"/>
              <w:rPr>
                <w:color w:val="auto"/>
                <w:sz w:val="14"/>
                <w:szCs w:val="14"/>
              </w:rPr>
            </w:pPr>
            <w:r w:rsidRPr="00B34F49">
              <w:rPr>
                <w:color w:val="auto"/>
                <w:sz w:val="14"/>
                <w:szCs w:val="16"/>
              </w:rPr>
              <w:t xml:space="preserve">Source: Off-Site Supervision &amp; Enforcement  Department SBP </w:t>
            </w:r>
          </w:p>
        </w:tc>
      </w:tr>
      <w:tr w:rsidR="00ED39A1" w:rsidRPr="00B34F49" w:rsidTr="00BB085A">
        <w:trPr>
          <w:trHeight w:val="180"/>
          <w:jc w:val="center"/>
        </w:trPr>
        <w:tc>
          <w:tcPr>
            <w:tcW w:w="10463" w:type="dxa"/>
            <w:gridSpan w:val="10"/>
            <w:tcBorders>
              <w:top w:val="nil"/>
              <w:left w:val="nil"/>
              <w:bottom w:val="nil"/>
              <w:right w:val="nil"/>
            </w:tcBorders>
            <w:shd w:val="clear" w:color="auto" w:fill="auto"/>
            <w:noWrap/>
            <w:vAlign w:val="center"/>
            <w:hideMark/>
          </w:tcPr>
          <w:p w:rsidR="00ED39A1" w:rsidRPr="00B34F49" w:rsidRDefault="00ED39A1" w:rsidP="00ED39A1">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firstRow="0" w:lastRow="0" w:firstColumn="0" w:lastColumn="0" w:noHBand="0" w:noVBand="0"/>
      </w:tblPr>
      <w:tblGrid>
        <w:gridCol w:w="3634"/>
        <w:gridCol w:w="748"/>
        <w:gridCol w:w="752"/>
        <w:gridCol w:w="748"/>
        <w:gridCol w:w="847"/>
        <w:gridCol w:w="873"/>
        <w:gridCol w:w="843"/>
        <w:gridCol w:w="843"/>
        <w:gridCol w:w="843"/>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lastRenderedPageBreak/>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A57C35">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7" w:type="pct"/>
            <w:gridSpan w:val="4"/>
            <w:tcBorders>
              <w:bottom w:val="single" w:sz="4" w:space="0" w:color="auto"/>
              <w:right w:val="single" w:sz="4" w:space="0" w:color="auto"/>
            </w:tcBorders>
            <w:shd w:val="clear" w:color="auto" w:fill="auto"/>
            <w:vAlign w:val="center"/>
          </w:tcPr>
          <w:p w:rsidR="007E2F90" w:rsidRPr="00D5469A" w:rsidRDefault="00C1781B" w:rsidP="007A7EBA">
            <w:pPr>
              <w:rPr>
                <w:b/>
                <w:color w:val="auto"/>
                <w:szCs w:val="16"/>
              </w:rPr>
            </w:pPr>
            <w:r>
              <w:rPr>
                <w:b/>
                <w:color w:val="auto"/>
                <w:szCs w:val="16"/>
              </w:rPr>
              <w:t>Jun</w:t>
            </w:r>
            <w:r w:rsidR="00B151AD">
              <w:rPr>
                <w:b/>
                <w:color w:val="auto"/>
                <w:szCs w:val="16"/>
              </w:rPr>
              <w:t>-</w:t>
            </w:r>
            <w:r w:rsidR="007E2F90" w:rsidRPr="00D5469A">
              <w:rPr>
                <w:b/>
                <w:color w:val="auto"/>
                <w:szCs w:val="16"/>
              </w:rPr>
              <w:t>1</w:t>
            </w:r>
            <w:r w:rsidR="007A7EBA">
              <w:rPr>
                <w:b/>
                <w:color w:val="auto"/>
                <w:szCs w:val="16"/>
              </w:rPr>
              <w:t>8</w:t>
            </w:r>
          </w:p>
        </w:tc>
        <w:tc>
          <w:tcPr>
            <w:tcW w:w="1679" w:type="pct"/>
            <w:gridSpan w:val="4"/>
            <w:tcBorders>
              <w:left w:val="single" w:sz="4" w:space="0" w:color="auto"/>
              <w:bottom w:val="single" w:sz="4" w:space="0" w:color="auto"/>
            </w:tcBorders>
            <w:shd w:val="clear" w:color="auto" w:fill="auto"/>
            <w:vAlign w:val="center"/>
          </w:tcPr>
          <w:p w:rsidR="007E2F90" w:rsidRPr="00D5469A" w:rsidRDefault="00526F81" w:rsidP="000010D1">
            <w:pPr>
              <w:rPr>
                <w:b/>
                <w:color w:val="auto"/>
                <w:szCs w:val="16"/>
              </w:rPr>
            </w:pPr>
            <w:r>
              <w:rPr>
                <w:b/>
                <w:color w:val="auto"/>
                <w:szCs w:val="16"/>
              </w:rPr>
              <w:t>Jun</w:t>
            </w:r>
            <w:r w:rsidR="000010D1">
              <w:rPr>
                <w:b/>
                <w:color w:val="auto"/>
                <w:szCs w:val="16"/>
              </w:rPr>
              <w:t>-</w:t>
            </w:r>
            <w:r w:rsidR="007E2F90">
              <w:rPr>
                <w:b/>
                <w:color w:val="auto"/>
                <w:szCs w:val="16"/>
              </w:rPr>
              <w:t>1</w:t>
            </w:r>
            <w:r w:rsidR="000010D1">
              <w:rPr>
                <w:b/>
                <w:color w:val="auto"/>
                <w:szCs w:val="16"/>
              </w:rPr>
              <w:t>9</w:t>
            </w:r>
          </w:p>
        </w:tc>
      </w:tr>
      <w:tr w:rsidR="006423A2" w:rsidRPr="00D5469A" w:rsidTr="00A57C35">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526F81">
            <w:pPr>
              <w:jc w:val="right"/>
              <w:rPr>
                <w:b/>
                <w:bCs/>
                <w:szCs w:val="16"/>
              </w:rPr>
            </w:pPr>
            <w:r>
              <w:rPr>
                <w:b/>
                <w:bCs/>
                <w:szCs w:val="16"/>
              </w:rPr>
              <w:t>MF</w:t>
            </w:r>
            <w:r w:rsidR="00526F81">
              <w:rPr>
                <w:b/>
                <w:bCs/>
                <w:szCs w:val="16"/>
              </w:rPr>
              <w:t>I</w:t>
            </w:r>
            <w:r>
              <w:rPr>
                <w:b/>
                <w:bCs/>
                <w:szCs w:val="16"/>
              </w:rPr>
              <w:t>s</w:t>
            </w:r>
          </w:p>
        </w:tc>
        <w:tc>
          <w:tcPr>
            <w:tcW w:w="418"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526F81" w:rsidP="006423A2">
            <w:pPr>
              <w:jc w:val="right"/>
              <w:rPr>
                <w:b/>
                <w:bCs/>
                <w:szCs w:val="16"/>
              </w:rPr>
            </w:pPr>
            <w:r>
              <w:rPr>
                <w:b/>
                <w:bCs/>
                <w:szCs w:val="16"/>
              </w:rPr>
              <w:t>MFI</w:t>
            </w:r>
            <w:r w:rsidR="006423A2">
              <w:rPr>
                <w:b/>
                <w:bCs/>
                <w:szCs w:val="16"/>
              </w:rPr>
              <w:t>s</w:t>
            </w:r>
          </w:p>
        </w:tc>
        <w:tc>
          <w:tcPr>
            <w:tcW w:w="416"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9,460</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290,998</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46,958</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347,416</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14,904</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240,302</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65,181</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320,387</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2,091</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4,513</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6,605</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422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5,791</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6,218</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5,096</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240,316</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36,493</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281,905</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4,933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187,265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49,097</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241,294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1,952</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2,036</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3,988</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360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222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1,169</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1,750</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4,362</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46,639</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3,917</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54,918</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9,607</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52,393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9,125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71,125</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79,554</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84,227</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37,440</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201,222</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119,975</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139,889</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37,536</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297,400</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47,752</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44,708</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36,957</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129,417</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54,161</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98,860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37,126</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190,147</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31,803</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39,518</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483</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71,804</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65,814</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41,028</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410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107,252</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96,434</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95,339</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166,614</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358,388</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112,176</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96,044</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216,891</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425,111</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19,772</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23,666</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125,504</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168,943</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27,454</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29,388</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175,862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232,705</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76,662</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71,673</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41,110</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189,445</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84,722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66,656</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41,029</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192,406</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30,891</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371,409</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402,300</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32,919</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281,569</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314,488</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24,941</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355,528</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380,469</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27,026</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269,068</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296,094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5,950</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15,881</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21,831</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5,893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12,501</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18,394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82</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82</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200</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202</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14</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14</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20</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68</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68</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181</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182</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7</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7</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14,649</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39,107</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19,758</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73,513</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17,603</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41,974</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22,597</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82,174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4,845</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30,132</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13,800</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48,777</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5,637</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30,753</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23,101</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59,491</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1B2736" w:rsidRDefault="00C1781B" w:rsidP="00C1781B">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4,697</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24,613</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13,532</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42,842</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5,490</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25,550</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22,528</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53,568</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left="373"/>
              <w:jc w:val="left"/>
              <w:rPr>
                <w:color w:val="auto"/>
                <w:szCs w:val="16"/>
              </w:rPr>
            </w:pPr>
            <w:r w:rsidRPr="00D5469A">
              <w:rPr>
                <w:color w:val="auto"/>
                <w:szCs w:val="16"/>
              </w:rPr>
              <w:t xml:space="preserve">      i.   Fixed assets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4,537</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23,024</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11,082</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38,643</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5,305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24,067</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19,102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48,474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left="373"/>
              <w:jc w:val="left"/>
              <w:rPr>
                <w:color w:val="auto"/>
                <w:szCs w:val="16"/>
              </w:rPr>
            </w:pPr>
            <w:r w:rsidRPr="00D5469A">
              <w:rPr>
                <w:color w:val="auto"/>
                <w:szCs w:val="16"/>
              </w:rPr>
              <w:t xml:space="preserve">     ii .  Inventories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650</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650</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410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410</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259</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259</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278</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278</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160</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680</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2,450</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3,291</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185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795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3,426</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4,407</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1B2736" w:rsidRDefault="00C1781B" w:rsidP="00C1781B">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5,520</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268</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5,935</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5,203</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573</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5,923</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left="451"/>
              <w:jc w:val="left"/>
              <w:rPr>
                <w:color w:val="auto"/>
                <w:szCs w:val="16"/>
              </w:rPr>
            </w:pPr>
            <w:r w:rsidRPr="00D5469A">
              <w:rPr>
                <w:color w:val="auto"/>
                <w:szCs w:val="16"/>
              </w:rPr>
              <w:t xml:space="preserve">    i.   Land</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1,184</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152</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1,484</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1,313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152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1,613</w:t>
            </w:r>
          </w:p>
        </w:tc>
      </w:tr>
      <w:tr w:rsidR="00C1781B" w:rsidRPr="00D5469A" w:rsidTr="00A57C35">
        <w:trPr>
          <w:trHeight w:hRule="exact" w:val="230"/>
        </w:trPr>
        <w:tc>
          <w:tcPr>
            <w:tcW w:w="1794" w:type="pct"/>
            <w:tcBorders>
              <w:top w:val="nil"/>
              <w:left w:val="nil"/>
              <w:right w:val="nil"/>
            </w:tcBorders>
            <w:shd w:val="clear" w:color="auto" w:fill="auto"/>
            <w:noWrap/>
            <w:vAlign w:val="center"/>
          </w:tcPr>
          <w:p w:rsidR="00C1781B" w:rsidRPr="00D5469A" w:rsidRDefault="00C1781B" w:rsidP="00C1781B">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C1781B" w:rsidRDefault="00C1781B" w:rsidP="00C1781B">
            <w:pPr>
              <w:jc w:val="right"/>
              <w:rPr>
                <w:sz w:val="14"/>
                <w:szCs w:val="14"/>
              </w:rPr>
            </w:pPr>
            <w:r>
              <w:rPr>
                <w:sz w:val="14"/>
                <w:szCs w:val="14"/>
              </w:rPr>
              <w:t>4,336</w:t>
            </w:r>
          </w:p>
        </w:tc>
        <w:tc>
          <w:tcPr>
            <w:tcW w:w="369" w:type="pct"/>
            <w:tcBorders>
              <w:top w:val="nil"/>
              <w:left w:val="nil"/>
              <w:right w:val="nil"/>
            </w:tcBorders>
            <w:shd w:val="clear" w:color="auto" w:fill="auto"/>
            <w:vAlign w:val="center"/>
          </w:tcPr>
          <w:p w:rsidR="00C1781B" w:rsidRDefault="00C1781B" w:rsidP="00C1781B">
            <w:pPr>
              <w:jc w:val="right"/>
              <w:rPr>
                <w:sz w:val="14"/>
                <w:szCs w:val="14"/>
              </w:rPr>
            </w:pPr>
            <w:r>
              <w:rPr>
                <w:sz w:val="14"/>
                <w:szCs w:val="14"/>
              </w:rPr>
              <w:t>115</w:t>
            </w:r>
          </w:p>
        </w:tc>
        <w:tc>
          <w:tcPr>
            <w:tcW w:w="418" w:type="pct"/>
            <w:tcBorders>
              <w:top w:val="nil"/>
              <w:left w:val="nil"/>
              <w:right w:val="nil"/>
            </w:tcBorders>
            <w:shd w:val="clear" w:color="auto" w:fill="auto"/>
            <w:noWrap/>
            <w:vAlign w:val="center"/>
          </w:tcPr>
          <w:p w:rsidR="00C1781B" w:rsidRDefault="00C1781B" w:rsidP="00C1781B">
            <w:pPr>
              <w:jc w:val="right"/>
              <w:rPr>
                <w:sz w:val="14"/>
                <w:szCs w:val="14"/>
              </w:rPr>
            </w:pPr>
            <w:r>
              <w:rPr>
                <w:sz w:val="14"/>
                <w:szCs w:val="14"/>
              </w:rPr>
              <w:t>4,451</w:t>
            </w:r>
          </w:p>
        </w:tc>
        <w:tc>
          <w:tcPr>
            <w:tcW w:w="431" w:type="pct"/>
            <w:tcBorders>
              <w:top w:val="nil"/>
              <w:left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right w:val="nil"/>
            </w:tcBorders>
            <w:shd w:val="clear" w:color="auto" w:fill="auto"/>
            <w:vAlign w:val="center"/>
          </w:tcPr>
          <w:p w:rsidR="00C1781B" w:rsidRDefault="00C1781B" w:rsidP="00C1781B">
            <w:pPr>
              <w:jc w:val="right"/>
              <w:rPr>
                <w:sz w:val="14"/>
                <w:szCs w:val="14"/>
              </w:rPr>
            </w:pPr>
            <w:r>
              <w:rPr>
                <w:sz w:val="14"/>
                <w:szCs w:val="14"/>
              </w:rPr>
              <w:t>3,890</w:t>
            </w:r>
          </w:p>
        </w:tc>
        <w:tc>
          <w:tcPr>
            <w:tcW w:w="416" w:type="pct"/>
            <w:tcBorders>
              <w:top w:val="nil"/>
              <w:left w:val="nil"/>
              <w:right w:val="nil"/>
            </w:tcBorders>
            <w:shd w:val="clear" w:color="auto" w:fill="auto"/>
            <w:vAlign w:val="center"/>
          </w:tcPr>
          <w:p w:rsidR="00C1781B" w:rsidRDefault="00C1781B" w:rsidP="00C1781B">
            <w:pPr>
              <w:jc w:val="right"/>
              <w:rPr>
                <w:sz w:val="14"/>
                <w:szCs w:val="14"/>
              </w:rPr>
            </w:pPr>
            <w:r>
              <w:rPr>
                <w:sz w:val="14"/>
                <w:szCs w:val="14"/>
              </w:rPr>
              <w:t>421</w:t>
            </w:r>
          </w:p>
        </w:tc>
        <w:tc>
          <w:tcPr>
            <w:tcW w:w="416" w:type="pct"/>
            <w:tcBorders>
              <w:top w:val="nil"/>
              <w:left w:val="nil"/>
              <w:right w:val="nil"/>
            </w:tcBorders>
            <w:shd w:val="clear" w:color="auto" w:fill="auto"/>
            <w:vAlign w:val="center"/>
          </w:tcPr>
          <w:p w:rsidR="00C1781B" w:rsidRDefault="00C1781B" w:rsidP="00C1781B">
            <w:pPr>
              <w:jc w:val="right"/>
              <w:rPr>
                <w:sz w:val="14"/>
                <w:szCs w:val="14"/>
              </w:rPr>
            </w:pPr>
            <w:r>
              <w:rPr>
                <w:sz w:val="14"/>
                <w:szCs w:val="14"/>
              </w:rPr>
              <w:t>4,311</w:t>
            </w:r>
          </w:p>
        </w:tc>
      </w:tr>
      <w:tr w:rsidR="00C1781B" w:rsidRPr="00D5469A" w:rsidTr="00A57C35">
        <w:trPr>
          <w:trHeight w:hRule="exact" w:val="230"/>
        </w:trPr>
        <w:tc>
          <w:tcPr>
            <w:tcW w:w="1794" w:type="pct"/>
            <w:tcBorders>
              <w:left w:val="nil"/>
              <w:right w:val="nil"/>
            </w:tcBorders>
            <w:shd w:val="clear" w:color="auto" w:fill="auto"/>
            <w:noWrap/>
            <w:vAlign w:val="center"/>
          </w:tcPr>
          <w:p w:rsidR="00C1781B" w:rsidRPr="00D5469A" w:rsidRDefault="00C1781B" w:rsidP="00C1781B">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C1781B" w:rsidRDefault="00C1781B" w:rsidP="00C1781B">
            <w:pPr>
              <w:jc w:val="right"/>
              <w:rPr>
                <w:b/>
                <w:bCs/>
                <w:sz w:val="14"/>
                <w:szCs w:val="14"/>
              </w:rPr>
            </w:pPr>
            <w:r>
              <w:rPr>
                <w:b/>
                <w:bCs/>
                <w:sz w:val="14"/>
                <w:szCs w:val="14"/>
              </w:rPr>
              <w:t>235,834</w:t>
            </w:r>
          </w:p>
        </w:tc>
        <w:tc>
          <w:tcPr>
            <w:tcW w:w="371" w:type="pct"/>
            <w:tcBorders>
              <w:left w:val="nil"/>
              <w:right w:val="nil"/>
            </w:tcBorders>
            <w:shd w:val="clear" w:color="auto" w:fill="auto"/>
            <w:noWrap/>
            <w:vAlign w:val="center"/>
          </w:tcPr>
          <w:p w:rsidR="00C1781B" w:rsidRDefault="00C1781B" w:rsidP="00C1781B">
            <w:pPr>
              <w:jc w:val="right"/>
              <w:rPr>
                <w:b/>
                <w:bCs/>
                <w:sz w:val="14"/>
                <w:szCs w:val="14"/>
              </w:rPr>
            </w:pPr>
            <w:r>
              <w:rPr>
                <w:b/>
                <w:bCs/>
                <w:sz w:val="14"/>
                <w:szCs w:val="14"/>
              </w:rPr>
              <w:t>911,219</w:t>
            </w:r>
          </w:p>
        </w:tc>
        <w:tc>
          <w:tcPr>
            <w:tcW w:w="369" w:type="pct"/>
            <w:tcBorders>
              <w:left w:val="nil"/>
              <w:right w:val="nil"/>
            </w:tcBorders>
            <w:shd w:val="clear" w:color="auto" w:fill="auto"/>
            <w:vAlign w:val="center"/>
          </w:tcPr>
          <w:p w:rsidR="00C1781B" w:rsidRDefault="00C1781B" w:rsidP="00C1781B">
            <w:pPr>
              <w:jc w:val="right"/>
              <w:rPr>
                <w:b/>
                <w:bCs/>
                <w:sz w:val="14"/>
                <w:szCs w:val="14"/>
              </w:rPr>
            </w:pPr>
            <w:r>
              <w:rPr>
                <w:b/>
                <w:bCs/>
                <w:sz w:val="14"/>
                <w:szCs w:val="14"/>
              </w:rPr>
              <w:t>284,651</w:t>
            </w:r>
          </w:p>
        </w:tc>
        <w:tc>
          <w:tcPr>
            <w:tcW w:w="418" w:type="pct"/>
            <w:tcBorders>
              <w:left w:val="nil"/>
              <w:right w:val="nil"/>
            </w:tcBorders>
            <w:shd w:val="clear" w:color="auto" w:fill="auto"/>
            <w:noWrap/>
            <w:vAlign w:val="center"/>
          </w:tcPr>
          <w:p w:rsidR="00C1781B" w:rsidRDefault="00C1781B" w:rsidP="00C1781B">
            <w:pPr>
              <w:jc w:val="right"/>
              <w:rPr>
                <w:b/>
                <w:bCs/>
                <w:sz w:val="14"/>
                <w:szCs w:val="14"/>
              </w:rPr>
            </w:pPr>
            <w:r>
              <w:rPr>
                <w:b/>
                <w:bCs/>
                <w:sz w:val="14"/>
                <w:szCs w:val="14"/>
              </w:rPr>
              <w:t>1,431,704</w:t>
            </w:r>
          </w:p>
        </w:tc>
        <w:tc>
          <w:tcPr>
            <w:tcW w:w="431" w:type="pct"/>
            <w:tcBorders>
              <w:left w:val="nil"/>
              <w:right w:val="nil"/>
            </w:tcBorders>
            <w:shd w:val="clear" w:color="auto" w:fill="auto"/>
            <w:vAlign w:val="center"/>
          </w:tcPr>
          <w:p w:rsidR="00C1781B" w:rsidRDefault="00C1781B" w:rsidP="00C1781B">
            <w:pPr>
              <w:jc w:val="right"/>
              <w:rPr>
                <w:b/>
                <w:bCs/>
                <w:sz w:val="14"/>
                <w:szCs w:val="14"/>
              </w:rPr>
            </w:pPr>
            <w:r>
              <w:rPr>
                <w:b/>
                <w:bCs/>
                <w:sz w:val="14"/>
                <w:szCs w:val="14"/>
              </w:rPr>
              <w:t>303,215</w:t>
            </w:r>
          </w:p>
        </w:tc>
        <w:tc>
          <w:tcPr>
            <w:tcW w:w="416" w:type="pct"/>
            <w:tcBorders>
              <w:left w:val="nil"/>
              <w:right w:val="nil"/>
            </w:tcBorders>
            <w:shd w:val="clear" w:color="auto" w:fill="auto"/>
            <w:vAlign w:val="center"/>
          </w:tcPr>
          <w:p w:rsidR="00C1781B" w:rsidRDefault="00C1781B" w:rsidP="00C1781B">
            <w:pPr>
              <w:jc w:val="right"/>
              <w:rPr>
                <w:b/>
                <w:bCs/>
                <w:sz w:val="14"/>
                <w:szCs w:val="14"/>
              </w:rPr>
            </w:pPr>
            <w:r>
              <w:rPr>
                <w:b/>
                <w:bCs/>
                <w:sz w:val="14"/>
                <w:szCs w:val="14"/>
              </w:rPr>
              <w:t>830,531</w:t>
            </w:r>
          </w:p>
        </w:tc>
        <w:tc>
          <w:tcPr>
            <w:tcW w:w="416" w:type="pct"/>
            <w:tcBorders>
              <w:left w:val="nil"/>
              <w:right w:val="nil"/>
            </w:tcBorders>
            <w:shd w:val="clear" w:color="auto" w:fill="auto"/>
            <w:vAlign w:val="center"/>
          </w:tcPr>
          <w:p w:rsidR="00C1781B" w:rsidRDefault="00C1781B" w:rsidP="00C1781B">
            <w:pPr>
              <w:jc w:val="right"/>
              <w:rPr>
                <w:b/>
                <w:bCs/>
                <w:sz w:val="14"/>
                <w:szCs w:val="14"/>
              </w:rPr>
            </w:pPr>
            <w:r>
              <w:rPr>
                <w:b/>
                <w:bCs/>
                <w:sz w:val="14"/>
                <w:szCs w:val="14"/>
              </w:rPr>
              <w:t>365,506</w:t>
            </w:r>
          </w:p>
        </w:tc>
        <w:tc>
          <w:tcPr>
            <w:tcW w:w="416" w:type="pct"/>
            <w:tcBorders>
              <w:left w:val="nil"/>
              <w:right w:val="nil"/>
            </w:tcBorders>
            <w:shd w:val="clear" w:color="auto" w:fill="auto"/>
            <w:vAlign w:val="center"/>
          </w:tcPr>
          <w:p w:rsidR="00C1781B" w:rsidRDefault="00C1781B" w:rsidP="00C1781B">
            <w:pPr>
              <w:jc w:val="right"/>
              <w:rPr>
                <w:b/>
                <w:bCs/>
                <w:sz w:val="14"/>
                <w:szCs w:val="14"/>
              </w:rPr>
            </w:pPr>
            <w:r>
              <w:rPr>
                <w:b/>
                <w:bCs/>
                <w:sz w:val="14"/>
                <w:szCs w:val="14"/>
              </w:rPr>
              <w:t>1,499,253</w:t>
            </w:r>
          </w:p>
        </w:tc>
      </w:tr>
      <w:tr w:rsidR="00C1781B" w:rsidRPr="00D5469A" w:rsidTr="00A57C35">
        <w:trPr>
          <w:trHeight w:hRule="exact" w:val="230"/>
        </w:trPr>
        <w:tc>
          <w:tcPr>
            <w:tcW w:w="1794" w:type="pct"/>
            <w:tcBorders>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14,058</w:t>
            </w:r>
          </w:p>
        </w:tc>
        <w:tc>
          <w:tcPr>
            <w:tcW w:w="371" w:type="pct"/>
            <w:tcBorders>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32,190</w:t>
            </w:r>
          </w:p>
        </w:tc>
        <w:tc>
          <w:tcPr>
            <w:tcW w:w="369" w:type="pct"/>
            <w:tcBorders>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209,107</w:t>
            </w:r>
          </w:p>
        </w:tc>
        <w:tc>
          <w:tcPr>
            <w:tcW w:w="418" w:type="pct"/>
            <w:tcBorders>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255,355</w:t>
            </w:r>
          </w:p>
        </w:tc>
        <w:tc>
          <w:tcPr>
            <w:tcW w:w="431" w:type="pct"/>
            <w:tcBorders>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8,720</w:t>
            </w:r>
          </w:p>
        </w:tc>
        <w:tc>
          <w:tcPr>
            <w:tcW w:w="416" w:type="pct"/>
            <w:tcBorders>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25,167</w:t>
            </w:r>
          </w:p>
        </w:tc>
        <w:tc>
          <w:tcPr>
            <w:tcW w:w="416" w:type="pct"/>
            <w:tcBorders>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250,507</w:t>
            </w:r>
          </w:p>
        </w:tc>
        <w:tc>
          <w:tcPr>
            <w:tcW w:w="416" w:type="pct"/>
            <w:tcBorders>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284,394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298</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19,098</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7</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19,403</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295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13,452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7</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13,754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13,760</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13,092</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209,100</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235,952</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8,426</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11,715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250,500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270,640</w:t>
            </w:r>
          </w:p>
        </w:tc>
      </w:tr>
      <w:tr w:rsidR="00C1781B" w:rsidRPr="00D5469A" w:rsidTr="00A57C35">
        <w:trPr>
          <w:trHeight w:hRule="exact" w:val="378"/>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1,478</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1,000</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2,478</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1,564</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5,854</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7,419</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488</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488</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612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612</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990</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1,000</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1,990</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953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5,854</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6,807</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88,649</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44,443</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13,910</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147,002</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151,493</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48,016</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22,964</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222,473</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56,426</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10,546</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2,192</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69,164</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97,790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9,466</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3,843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111,099</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32,223</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33,897</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11,718</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77,838</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53,703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38,550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19,121</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111,374</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32,988</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86,273</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23,488</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142,750</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35,385</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66,879</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39,142</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141,406</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100,139</w:t>
            </w:r>
          </w:p>
        </w:tc>
        <w:tc>
          <w:tcPr>
            <w:tcW w:w="371"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746,835</w:t>
            </w:r>
          </w:p>
        </w:tc>
        <w:tc>
          <w:tcPr>
            <w:tcW w:w="369"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37,146</w:t>
            </w:r>
          </w:p>
        </w:tc>
        <w:tc>
          <w:tcPr>
            <w:tcW w:w="418" w:type="pct"/>
            <w:tcBorders>
              <w:top w:val="nil"/>
              <w:left w:val="nil"/>
              <w:bottom w:val="nil"/>
              <w:right w:val="nil"/>
            </w:tcBorders>
            <w:shd w:val="clear" w:color="auto" w:fill="auto"/>
            <w:noWrap/>
            <w:vAlign w:val="center"/>
          </w:tcPr>
          <w:p w:rsidR="00C1781B" w:rsidRDefault="00C1781B" w:rsidP="00C1781B">
            <w:pPr>
              <w:jc w:val="right"/>
              <w:rPr>
                <w:b/>
                <w:bCs/>
                <w:sz w:val="14"/>
                <w:szCs w:val="14"/>
              </w:rPr>
            </w:pPr>
            <w:r>
              <w:rPr>
                <w:b/>
                <w:bCs/>
                <w:sz w:val="14"/>
                <w:szCs w:val="14"/>
              </w:rPr>
              <w:t>884,120</w:t>
            </w:r>
          </w:p>
        </w:tc>
        <w:tc>
          <w:tcPr>
            <w:tcW w:w="431"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107,617</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688,905</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47,039</w:t>
            </w:r>
          </w:p>
        </w:tc>
        <w:tc>
          <w:tcPr>
            <w:tcW w:w="416" w:type="pct"/>
            <w:tcBorders>
              <w:top w:val="nil"/>
              <w:left w:val="nil"/>
              <w:bottom w:val="nil"/>
              <w:right w:val="nil"/>
            </w:tcBorders>
            <w:shd w:val="clear" w:color="auto" w:fill="auto"/>
            <w:vAlign w:val="center"/>
          </w:tcPr>
          <w:p w:rsidR="00C1781B" w:rsidRDefault="00C1781B" w:rsidP="00C1781B">
            <w:pPr>
              <w:jc w:val="right"/>
              <w:rPr>
                <w:b/>
                <w:bCs/>
                <w:sz w:val="14"/>
                <w:szCs w:val="14"/>
              </w:rPr>
            </w:pPr>
            <w:r>
              <w:rPr>
                <w:b/>
                <w:bCs/>
                <w:sz w:val="14"/>
                <w:szCs w:val="14"/>
              </w:rPr>
              <w:t>843,561</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393,211</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2,500</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395,711</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388,673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3,440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392,112</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65,373</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271,235</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21,006</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357,614</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69,332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255,982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21,736</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347,050</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22,573</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68,394</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5,865</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96,832</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24,464</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46,322</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5,838</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76,623</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1,849</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(7,887)</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3,318</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(2,719)</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1,435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(1,854)</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1,520</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1,101</w:t>
            </w:r>
          </w:p>
        </w:tc>
      </w:tr>
      <w:tr w:rsidR="00C1781B" w:rsidRPr="00D5469A" w:rsidTr="00A57C35">
        <w:trPr>
          <w:trHeight w:hRule="exact" w:val="230"/>
        </w:trPr>
        <w:tc>
          <w:tcPr>
            <w:tcW w:w="1794" w:type="pct"/>
            <w:tcBorders>
              <w:top w:val="nil"/>
              <w:left w:val="nil"/>
              <w:bottom w:val="nil"/>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13,214</w:t>
            </w:r>
          </w:p>
        </w:tc>
        <w:tc>
          <w:tcPr>
            <w:tcW w:w="371"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11,553</w:t>
            </w:r>
          </w:p>
        </w:tc>
        <w:tc>
          <w:tcPr>
            <w:tcW w:w="369"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4,461</w:t>
            </w:r>
          </w:p>
        </w:tc>
        <w:tc>
          <w:tcPr>
            <w:tcW w:w="418" w:type="pct"/>
            <w:tcBorders>
              <w:top w:val="nil"/>
              <w:left w:val="nil"/>
              <w:bottom w:val="nil"/>
              <w:right w:val="nil"/>
            </w:tcBorders>
            <w:shd w:val="clear" w:color="auto" w:fill="auto"/>
            <w:noWrap/>
            <w:vAlign w:val="center"/>
          </w:tcPr>
          <w:p w:rsidR="00C1781B" w:rsidRDefault="00C1781B" w:rsidP="00C1781B">
            <w:pPr>
              <w:jc w:val="right"/>
              <w:rPr>
                <w:sz w:val="14"/>
                <w:szCs w:val="14"/>
              </w:rPr>
            </w:pPr>
            <w:r>
              <w:rPr>
                <w:sz w:val="14"/>
                <w:szCs w:val="14"/>
              </w:rPr>
              <w:t>29,228</w:t>
            </w:r>
          </w:p>
        </w:tc>
        <w:tc>
          <w:tcPr>
            <w:tcW w:w="431"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14,923</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6,875</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14,491</w:t>
            </w:r>
          </w:p>
        </w:tc>
        <w:tc>
          <w:tcPr>
            <w:tcW w:w="416" w:type="pct"/>
            <w:tcBorders>
              <w:top w:val="nil"/>
              <w:left w:val="nil"/>
              <w:bottom w:val="nil"/>
              <w:right w:val="nil"/>
            </w:tcBorders>
            <w:shd w:val="clear" w:color="auto" w:fill="auto"/>
            <w:vAlign w:val="center"/>
          </w:tcPr>
          <w:p w:rsidR="00C1781B" w:rsidRDefault="00C1781B" w:rsidP="00C1781B">
            <w:pPr>
              <w:jc w:val="right"/>
              <w:rPr>
                <w:sz w:val="14"/>
                <w:szCs w:val="14"/>
              </w:rPr>
            </w:pPr>
            <w:r>
              <w:rPr>
                <w:sz w:val="14"/>
                <w:szCs w:val="14"/>
              </w:rPr>
              <w:t>36,288</w:t>
            </w:r>
          </w:p>
        </w:tc>
      </w:tr>
      <w:tr w:rsidR="00C1781B" w:rsidRPr="00D5469A" w:rsidTr="00A57C35">
        <w:trPr>
          <w:trHeight w:hRule="exact" w:val="230"/>
        </w:trPr>
        <w:tc>
          <w:tcPr>
            <w:tcW w:w="1794" w:type="pct"/>
            <w:tcBorders>
              <w:top w:val="nil"/>
              <w:left w:val="nil"/>
              <w:bottom w:val="single" w:sz="12" w:space="0" w:color="auto"/>
              <w:right w:val="nil"/>
            </w:tcBorders>
            <w:shd w:val="clear" w:color="auto" w:fill="auto"/>
            <w:noWrap/>
            <w:vAlign w:val="center"/>
          </w:tcPr>
          <w:p w:rsidR="00C1781B" w:rsidRPr="00D5469A" w:rsidRDefault="00C1781B" w:rsidP="00C1781B">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C1781B" w:rsidRDefault="00C1781B" w:rsidP="00C1781B">
            <w:pPr>
              <w:jc w:val="right"/>
              <w:rPr>
                <w:sz w:val="14"/>
                <w:szCs w:val="14"/>
              </w:rPr>
            </w:pPr>
            <w:r>
              <w:rPr>
                <w:sz w:val="14"/>
                <w:szCs w:val="14"/>
              </w:rPr>
              <w:t>(2,870)</w:t>
            </w:r>
          </w:p>
        </w:tc>
        <w:tc>
          <w:tcPr>
            <w:tcW w:w="371" w:type="pct"/>
            <w:tcBorders>
              <w:top w:val="nil"/>
              <w:left w:val="nil"/>
              <w:bottom w:val="single" w:sz="12" w:space="0" w:color="auto"/>
              <w:right w:val="nil"/>
            </w:tcBorders>
            <w:shd w:val="clear" w:color="auto" w:fill="auto"/>
            <w:noWrap/>
            <w:vAlign w:val="center"/>
          </w:tcPr>
          <w:p w:rsidR="00C1781B" w:rsidRDefault="00C1781B" w:rsidP="00C1781B">
            <w:pPr>
              <w:jc w:val="right"/>
              <w:rPr>
                <w:sz w:val="14"/>
                <w:szCs w:val="14"/>
              </w:rPr>
            </w:pPr>
            <w:r>
              <w:rPr>
                <w:sz w:val="14"/>
                <w:szCs w:val="14"/>
              </w:rPr>
              <w:t>10,329</w:t>
            </w:r>
          </w:p>
        </w:tc>
        <w:tc>
          <w:tcPr>
            <w:tcW w:w="369" w:type="pct"/>
            <w:tcBorders>
              <w:top w:val="nil"/>
              <w:left w:val="nil"/>
              <w:bottom w:val="single" w:sz="12" w:space="0" w:color="auto"/>
              <w:right w:val="nil"/>
            </w:tcBorders>
            <w:shd w:val="clear" w:color="auto" w:fill="auto"/>
            <w:vAlign w:val="center"/>
          </w:tcPr>
          <w:p w:rsidR="00C1781B" w:rsidRDefault="00C1781B" w:rsidP="00C1781B">
            <w:pPr>
              <w:jc w:val="right"/>
              <w:rPr>
                <w:sz w:val="14"/>
                <w:szCs w:val="14"/>
              </w:rPr>
            </w:pPr>
            <w:r>
              <w:rPr>
                <w:sz w:val="14"/>
                <w:szCs w:val="14"/>
              </w:rPr>
              <w:t>(4)</w:t>
            </w:r>
          </w:p>
        </w:tc>
        <w:tc>
          <w:tcPr>
            <w:tcW w:w="418" w:type="pct"/>
            <w:tcBorders>
              <w:top w:val="nil"/>
              <w:left w:val="nil"/>
              <w:bottom w:val="single" w:sz="12" w:space="0" w:color="auto"/>
              <w:right w:val="nil"/>
            </w:tcBorders>
            <w:shd w:val="clear" w:color="auto" w:fill="auto"/>
            <w:noWrap/>
            <w:vAlign w:val="center"/>
          </w:tcPr>
          <w:p w:rsidR="00C1781B" w:rsidRDefault="00C1781B" w:rsidP="00C1781B">
            <w:pPr>
              <w:jc w:val="right"/>
              <w:rPr>
                <w:sz w:val="14"/>
                <w:szCs w:val="14"/>
              </w:rPr>
            </w:pPr>
            <w:r>
              <w:rPr>
                <w:sz w:val="14"/>
                <w:szCs w:val="14"/>
              </w:rPr>
              <w:t>7,455</w:t>
            </w:r>
          </w:p>
        </w:tc>
        <w:tc>
          <w:tcPr>
            <w:tcW w:w="431" w:type="pct"/>
            <w:tcBorders>
              <w:top w:val="nil"/>
              <w:left w:val="nil"/>
              <w:bottom w:val="single" w:sz="12" w:space="0" w:color="auto"/>
              <w:right w:val="nil"/>
            </w:tcBorders>
            <w:shd w:val="clear" w:color="auto" w:fill="auto"/>
            <w:vAlign w:val="center"/>
          </w:tcPr>
          <w:p w:rsidR="00C1781B" w:rsidRDefault="00C1781B" w:rsidP="00C1781B">
            <w:pPr>
              <w:jc w:val="right"/>
              <w:rPr>
                <w:sz w:val="14"/>
                <w:szCs w:val="14"/>
              </w:rPr>
            </w:pPr>
            <w:r>
              <w:rPr>
                <w:sz w:val="14"/>
                <w:szCs w:val="14"/>
              </w:rPr>
              <w:t>(2,536)</w:t>
            </w:r>
          </w:p>
        </w:tc>
        <w:tc>
          <w:tcPr>
            <w:tcW w:w="416" w:type="pct"/>
            <w:tcBorders>
              <w:top w:val="nil"/>
              <w:left w:val="nil"/>
              <w:bottom w:val="single" w:sz="12" w:space="0" w:color="auto"/>
              <w:right w:val="nil"/>
            </w:tcBorders>
            <w:shd w:val="clear" w:color="auto" w:fill="auto"/>
            <w:vAlign w:val="center"/>
          </w:tcPr>
          <w:p w:rsidR="00C1781B" w:rsidRDefault="00C1781B" w:rsidP="00C1781B">
            <w:pPr>
              <w:jc w:val="right"/>
              <w:rPr>
                <w:sz w:val="14"/>
                <w:szCs w:val="14"/>
              </w:rPr>
            </w:pPr>
            <w:r>
              <w:rPr>
                <w:sz w:val="14"/>
                <w:szCs w:val="14"/>
              </w:rPr>
              <w:t>(7,092)</w:t>
            </w:r>
          </w:p>
        </w:tc>
        <w:tc>
          <w:tcPr>
            <w:tcW w:w="416" w:type="pct"/>
            <w:tcBorders>
              <w:top w:val="nil"/>
              <w:left w:val="nil"/>
              <w:bottom w:val="single" w:sz="12" w:space="0" w:color="auto"/>
              <w:right w:val="nil"/>
            </w:tcBorders>
            <w:shd w:val="clear" w:color="auto" w:fill="auto"/>
            <w:vAlign w:val="center"/>
          </w:tcPr>
          <w:p w:rsidR="00C1781B" w:rsidRDefault="00C1781B" w:rsidP="00C1781B">
            <w:pPr>
              <w:jc w:val="right"/>
              <w:rPr>
                <w:sz w:val="14"/>
                <w:szCs w:val="14"/>
              </w:rPr>
            </w:pPr>
            <w:r>
              <w:rPr>
                <w:sz w:val="14"/>
                <w:szCs w:val="14"/>
              </w:rPr>
              <w:t>14</w:t>
            </w:r>
          </w:p>
        </w:tc>
        <w:tc>
          <w:tcPr>
            <w:tcW w:w="416" w:type="pct"/>
            <w:tcBorders>
              <w:top w:val="nil"/>
              <w:left w:val="nil"/>
              <w:bottom w:val="single" w:sz="12" w:space="0" w:color="auto"/>
              <w:right w:val="nil"/>
            </w:tcBorders>
            <w:shd w:val="clear" w:color="auto" w:fill="auto"/>
            <w:vAlign w:val="center"/>
          </w:tcPr>
          <w:p w:rsidR="00C1781B" w:rsidRDefault="00C1781B" w:rsidP="00C1781B">
            <w:pPr>
              <w:jc w:val="right"/>
              <w:rPr>
                <w:sz w:val="14"/>
                <w:szCs w:val="14"/>
              </w:rPr>
            </w:pPr>
            <w:r>
              <w:rPr>
                <w:sz w:val="14"/>
                <w:szCs w:val="14"/>
              </w:rPr>
              <w:t>(9,614)</w:t>
            </w:r>
          </w:p>
        </w:tc>
      </w:tr>
      <w:tr w:rsidR="00C1781B" w:rsidRPr="00D5469A" w:rsidTr="00052ECD">
        <w:trPr>
          <w:trHeight w:val="645"/>
        </w:trPr>
        <w:tc>
          <w:tcPr>
            <w:tcW w:w="5000" w:type="pct"/>
            <w:gridSpan w:val="9"/>
            <w:tcBorders>
              <w:top w:val="single" w:sz="12" w:space="0" w:color="auto"/>
              <w:left w:val="nil"/>
              <w:right w:val="nil"/>
            </w:tcBorders>
            <w:shd w:val="clear" w:color="auto" w:fill="auto"/>
            <w:vAlign w:val="center"/>
          </w:tcPr>
          <w:p w:rsidR="00C1781B" w:rsidRDefault="00C1781B" w:rsidP="00C1781B">
            <w:pPr>
              <w:ind w:hanging="95"/>
              <w:jc w:val="right"/>
              <w:rPr>
                <w:color w:val="auto"/>
                <w:sz w:val="12"/>
                <w:szCs w:val="16"/>
              </w:rPr>
            </w:pPr>
            <w:r>
              <w:rPr>
                <w:sz w:val="14"/>
                <w:szCs w:val="14"/>
              </w:rPr>
              <w:t>Source: Statistics &amp; Data Warehouse Department SBP</w:t>
            </w:r>
          </w:p>
          <w:p w:rsidR="00C1781B" w:rsidRPr="00D5469A" w:rsidRDefault="00C1781B" w:rsidP="00C1781B">
            <w:pPr>
              <w:ind w:hanging="95"/>
              <w:jc w:val="left"/>
              <w:rPr>
                <w:color w:val="auto"/>
                <w:sz w:val="12"/>
                <w:szCs w:val="16"/>
              </w:rPr>
            </w:pPr>
            <w:r w:rsidRPr="00D5469A">
              <w:rPr>
                <w:color w:val="auto"/>
                <w:sz w:val="12"/>
                <w:szCs w:val="16"/>
              </w:rPr>
              <w:t xml:space="preserve">* </w:t>
            </w:r>
            <w:r w:rsidRPr="000010D1">
              <w:rPr>
                <w:color w:val="auto"/>
                <w:sz w:val="12"/>
                <w:szCs w:val="16"/>
              </w:rPr>
              <w:t>DFIs also includes HBFC &amp; PMRCL data</w:t>
            </w:r>
            <w:r w:rsidRPr="00D5469A">
              <w:rPr>
                <w:color w:val="auto"/>
                <w:sz w:val="12"/>
                <w:szCs w:val="16"/>
              </w:rPr>
              <w:t>.</w:t>
            </w:r>
          </w:p>
          <w:p w:rsidR="00C1781B" w:rsidRPr="00D5469A" w:rsidRDefault="00C1781B" w:rsidP="00C1781B">
            <w:pPr>
              <w:ind w:hanging="95"/>
              <w:jc w:val="left"/>
              <w:rPr>
                <w:color w:val="auto"/>
                <w:sz w:val="12"/>
                <w:szCs w:val="16"/>
              </w:rPr>
            </w:pPr>
            <w:r w:rsidRPr="00D5469A">
              <w:rPr>
                <w:color w:val="auto"/>
                <w:sz w:val="12"/>
                <w:szCs w:val="16"/>
              </w:rPr>
              <w:t>DFIs Development Finance Institutions</w:t>
            </w:r>
          </w:p>
          <w:p w:rsidR="00C1781B" w:rsidRPr="00D5469A" w:rsidRDefault="00C1781B" w:rsidP="00C1781B">
            <w:pPr>
              <w:ind w:hanging="95"/>
              <w:jc w:val="left"/>
              <w:rPr>
                <w:color w:val="auto"/>
                <w:sz w:val="12"/>
                <w:szCs w:val="16"/>
              </w:rPr>
            </w:pPr>
            <w:r w:rsidRPr="00D5469A">
              <w:rPr>
                <w:color w:val="auto"/>
                <w:sz w:val="12"/>
                <w:szCs w:val="16"/>
              </w:rPr>
              <w:t>NBFCs  Non Bank Financial Companies</w:t>
            </w:r>
          </w:p>
          <w:p w:rsidR="00C1781B" w:rsidRPr="00D5469A" w:rsidRDefault="00C1781B" w:rsidP="00C1781B">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firstRow="1" w:lastRow="0" w:firstColumn="1" w:lastColumn="0" w:noHBand="0" w:noVBand="1"/>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lastRenderedPageBreak/>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C1781B" w:rsidP="007B3B61">
            <w:pPr>
              <w:rPr>
                <w:b/>
                <w:color w:val="auto"/>
                <w:szCs w:val="16"/>
              </w:rPr>
            </w:pPr>
            <w:r>
              <w:rPr>
                <w:b/>
                <w:color w:val="auto"/>
                <w:szCs w:val="16"/>
              </w:rPr>
              <w:t>Jun</w:t>
            </w:r>
            <w:r w:rsidR="0040006F" w:rsidRPr="00D5469A">
              <w:rPr>
                <w:b/>
                <w:color w:val="auto"/>
                <w:szCs w:val="16"/>
              </w:rPr>
              <w:t>-1</w:t>
            </w:r>
            <w:r w:rsidR="007A7EBA">
              <w:rPr>
                <w:b/>
                <w:color w:val="auto"/>
                <w:szCs w:val="16"/>
              </w:rPr>
              <w:t>8</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C156D0" w:rsidP="000010D1">
            <w:pPr>
              <w:rPr>
                <w:b/>
                <w:color w:val="auto"/>
                <w:szCs w:val="16"/>
              </w:rPr>
            </w:pPr>
            <w:r>
              <w:rPr>
                <w:b/>
                <w:bCs/>
                <w:color w:val="auto"/>
                <w:szCs w:val="22"/>
              </w:rPr>
              <w:t>Jun</w:t>
            </w:r>
            <w:r w:rsidR="00322666">
              <w:rPr>
                <w:b/>
                <w:bCs/>
                <w:color w:val="auto"/>
                <w:szCs w:val="22"/>
              </w:rPr>
              <w:t>-1</w:t>
            </w:r>
            <w:r w:rsidR="000010D1">
              <w:rPr>
                <w:b/>
                <w:bCs/>
                <w:color w:val="auto"/>
                <w:szCs w:val="22"/>
              </w:rPr>
              <w:t>9</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104,550</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7,378</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111,928</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97,545</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5,993</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103,538</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C1781B" w:rsidRPr="00D5469A" w:rsidRDefault="00C1781B" w:rsidP="00C1781B">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3,522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678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4,200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3,194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2,356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5,550</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C1781B" w:rsidRPr="00D5469A" w:rsidRDefault="00C1781B" w:rsidP="00C1781B">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101,029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6,699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107,728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94,350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3,637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97,988</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13,041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18,766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31,807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20,936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33,529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54,466</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C1781B" w:rsidRPr="00D5469A" w:rsidRDefault="00C1781B" w:rsidP="00C1781B">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4,163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873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5,035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11,394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10,375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21,769</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C1781B" w:rsidRPr="00D5469A" w:rsidRDefault="00C1781B" w:rsidP="00C1781B">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7,137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7,152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8,059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27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8,086</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C1781B" w:rsidRPr="00D5469A" w:rsidRDefault="00C1781B" w:rsidP="00C1781B">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722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17,537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18,260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840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23,126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23,966</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C1781B" w:rsidRPr="00D5469A" w:rsidRDefault="00C1781B" w:rsidP="00C1781B">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1,019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246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1,266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644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644</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C1781B" w:rsidRPr="00D5469A" w:rsidRDefault="00C1781B" w:rsidP="00C1781B">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95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95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sz w:val="14"/>
                <w:szCs w:val="14"/>
              </w:rPr>
            </w:pPr>
            <w:r>
              <w:rPr>
                <w:sz w:val="14"/>
                <w:szCs w:val="14"/>
              </w:rPr>
              <w:t>1</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45,063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11,515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56,578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44,409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11,867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56,275</w:t>
            </w:r>
          </w:p>
        </w:tc>
      </w:tr>
      <w:tr w:rsidR="00C1781B" w:rsidRPr="00D5469A" w:rsidTr="00EF550D">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45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45</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C1781B" w:rsidRPr="00D5469A" w:rsidRDefault="00C1781B" w:rsidP="00C1781B">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35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35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20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20</w:t>
            </w:r>
          </w:p>
        </w:tc>
      </w:tr>
      <w:tr w:rsidR="00C1781B" w:rsidRPr="00D5469A" w:rsidTr="00EF550D">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C1781B" w:rsidRPr="00D5469A" w:rsidRDefault="00C1781B" w:rsidP="00C1781B">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145,538</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12,485</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158,023</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196,468</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14,299</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210,767</w:t>
            </w:r>
          </w:p>
        </w:tc>
      </w:tr>
      <w:tr w:rsidR="00C1781B" w:rsidRPr="00D5469A" w:rsidTr="00EF550D">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C1781B" w:rsidRPr="00D5469A" w:rsidRDefault="00C1781B" w:rsidP="00C1781B">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308,244</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50,144</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358,388</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359,402</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65,708</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1781B" w:rsidRDefault="00C1781B" w:rsidP="00C1781B">
            <w:pPr>
              <w:jc w:val="right"/>
              <w:rPr>
                <w:b/>
                <w:bCs/>
                <w:sz w:val="14"/>
                <w:szCs w:val="14"/>
              </w:rPr>
            </w:pPr>
            <w:r>
              <w:rPr>
                <w:b/>
                <w:bCs/>
                <w:sz w:val="14"/>
                <w:szCs w:val="14"/>
              </w:rPr>
              <w:t>425,111</w:t>
            </w:r>
          </w:p>
        </w:tc>
      </w:tr>
      <w:tr w:rsidR="00C1781B"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C1781B" w:rsidRDefault="00C1781B" w:rsidP="00C1781B">
            <w:pPr>
              <w:jc w:val="right"/>
              <w:rPr>
                <w:color w:val="auto"/>
                <w:sz w:val="12"/>
                <w:szCs w:val="16"/>
              </w:rPr>
            </w:pPr>
            <w:r>
              <w:rPr>
                <w:sz w:val="14"/>
                <w:szCs w:val="14"/>
              </w:rPr>
              <w:t>Source: Statistics &amp; Data Warehouse Department SBP</w:t>
            </w:r>
          </w:p>
          <w:p w:rsidR="00C1781B" w:rsidRPr="00D5469A" w:rsidRDefault="00C1781B" w:rsidP="00C1781B">
            <w:pPr>
              <w:jc w:val="left"/>
              <w:rPr>
                <w:color w:val="auto"/>
                <w:sz w:val="12"/>
                <w:szCs w:val="16"/>
              </w:rPr>
            </w:pPr>
            <w:r w:rsidRPr="00D5469A">
              <w:rPr>
                <w:color w:val="auto"/>
                <w:sz w:val="12"/>
                <w:szCs w:val="16"/>
              </w:rPr>
              <w:t>* This includes Depository NBFCs, DFIs and MFIs.</w:t>
            </w:r>
          </w:p>
          <w:p w:rsidR="00C1781B" w:rsidRPr="00D5469A" w:rsidRDefault="00C1781B" w:rsidP="00C1781B">
            <w:pPr>
              <w:jc w:val="left"/>
              <w:rPr>
                <w:color w:val="auto"/>
                <w:sz w:val="12"/>
                <w:szCs w:val="16"/>
              </w:rPr>
            </w:pPr>
            <w:r w:rsidRPr="002C409E">
              <w:rPr>
                <w:color w:val="auto"/>
                <w:sz w:val="12"/>
                <w:szCs w:val="16"/>
              </w:rPr>
              <w:t>** This includes Non Depository NBFCs ,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C156D0"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C156D0" w:rsidRPr="00D5469A" w:rsidRDefault="00C156D0" w:rsidP="00C156D0">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156D0" w:rsidRPr="00D5469A" w:rsidRDefault="00C156D0" w:rsidP="00C156D0">
            <w:pPr>
              <w:jc w:val="right"/>
              <w:rPr>
                <w:b/>
                <w:bCs/>
                <w:color w:val="auto"/>
                <w:szCs w:val="22"/>
              </w:rPr>
            </w:pPr>
            <w:r>
              <w:rPr>
                <w:b/>
                <w:bCs/>
                <w:color w:val="auto"/>
                <w:szCs w:val="22"/>
              </w:rPr>
              <w:t>Mar-18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156D0" w:rsidRPr="00D5469A" w:rsidRDefault="00C156D0" w:rsidP="00C156D0">
            <w:pPr>
              <w:jc w:val="right"/>
              <w:rPr>
                <w:b/>
                <w:bCs/>
                <w:color w:val="auto"/>
                <w:szCs w:val="22"/>
              </w:rPr>
            </w:pPr>
            <w:r>
              <w:rPr>
                <w:b/>
                <w:bCs/>
                <w:color w:val="auto"/>
                <w:szCs w:val="22"/>
              </w:rPr>
              <w:t>Jun-18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156D0" w:rsidRPr="00D5469A" w:rsidRDefault="00C156D0" w:rsidP="00C156D0">
            <w:pPr>
              <w:jc w:val="right"/>
              <w:rPr>
                <w:b/>
                <w:bCs/>
                <w:color w:val="auto"/>
                <w:szCs w:val="22"/>
              </w:rPr>
            </w:pPr>
            <w:r>
              <w:rPr>
                <w:b/>
                <w:bCs/>
                <w:color w:val="auto"/>
                <w:szCs w:val="22"/>
              </w:rPr>
              <w:t>Sep-18</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C156D0" w:rsidRPr="00D5469A" w:rsidRDefault="00C156D0" w:rsidP="00C156D0">
            <w:pPr>
              <w:jc w:val="right"/>
              <w:rPr>
                <w:b/>
                <w:bCs/>
                <w:color w:val="auto"/>
                <w:szCs w:val="22"/>
              </w:rPr>
            </w:pPr>
            <w:r>
              <w:rPr>
                <w:b/>
                <w:bCs/>
                <w:color w:val="auto"/>
                <w:szCs w:val="22"/>
              </w:rPr>
              <w:t>Dec-18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156D0" w:rsidRPr="00D5469A" w:rsidRDefault="00C156D0" w:rsidP="00C156D0">
            <w:pPr>
              <w:jc w:val="right"/>
              <w:rPr>
                <w:b/>
                <w:bCs/>
                <w:color w:val="auto"/>
                <w:szCs w:val="22"/>
              </w:rPr>
            </w:pPr>
            <w:r>
              <w:rPr>
                <w:b/>
                <w:bCs/>
                <w:color w:val="auto"/>
                <w:szCs w:val="22"/>
              </w:rPr>
              <w:t>Mar-19</w:t>
            </w:r>
          </w:p>
        </w:tc>
        <w:tc>
          <w:tcPr>
            <w:tcW w:w="792" w:type="dxa"/>
            <w:tcBorders>
              <w:top w:val="single" w:sz="8" w:space="0" w:color="auto"/>
              <w:left w:val="single" w:sz="4" w:space="0" w:color="auto"/>
              <w:bottom w:val="single" w:sz="12" w:space="0" w:color="auto"/>
            </w:tcBorders>
            <w:shd w:val="clear" w:color="auto" w:fill="auto"/>
            <w:noWrap/>
            <w:vAlign w:val="center"/>
          </w:tcPr>
          <w:p w:rsidR="00C156D0" w:rsidRPr="00D5469A" w:rsidRDefault="00C156D0" w:rsidP="00C156D0">
            <w:pPr>
              <w:jc w:val="right"/>
              <w:rPr>
                <w:b/>
                <w:bCs/>
                <w:color w:val="auto"/>
                <w:szCs w:val="22"/>
              </w:rPr>
            </w:pPr>
            <w:r>
              <w:rPr>
                <w:b/>
                <w:bCs/>
                <w:color w:val="auto"/>
                <w:szCs w:val="22"/>
              </w:rPr>
              <w:t>Jun-19</w:t>
            </w:r>
          </w:p>
        </w:tc>
      </w:tr>
      <w:tr w:rsidR="00C156D0" w:rsidRPr="00D5469A" w:rsidTr="00DF4C38">
        <w:trPr>
          <w:trHeight w:hRule="exact" w:val="259"/>
        </w:trPr>
        <w:tc>
          <w:tcPr>
            <w:tcW w:w="4068" w:type="dxa"/>
            <w:tcBorders>
              <w:top w:val="single" w:sz="12" w:space="0" w:color="auto"/>
            </w:tcBorders>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85,834</w:t>
            </w:r>
          </w:p>
        </w:tc>
        <w:tc>
          <w:tcPr>
            <w:tcW w:w="900" w:type="dxa"/>
            <w:tcBorders>
              <w:top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97,501</w:t>
            </w:r>
          </w:p>
        </w:tc>
        <w:tc>
          <w:tcPr>
            <w:tcW w:w="900" w:type="dxa"/>
            <w:tcBorders>
              <w:top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91,250</w:t>
            </w:r>
          </w:p>
        </w:tc>
        <w:tc>
          <w:tcPr>
            <w:tcW w:w="990" w:type="dxa"/>
            <w:tcBorders>
              <w:top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97,597</w:t>
            </w:r>
          </w:p>
        </w:tc>
        <w:tc>
          <w:tcPr>
            <w:tcW w:w="900" w:type="dxa"/>
            <w:tcBorders>
              <w:top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96,778</w:t>
            </w:r>
          </w:p>
        </w:tc>
        <w:tc>
          <w:tcPr>
            <w:tcW w:w="792" w:type="dxa"/>
            <w:tcBorders>
              <w:top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96,681</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C156D0" w:rsidRDefault="00C156D0" w:rsidP="00C156D0">
            <w:pPr>
              <w:jc w:val="right"/>
              <w:rPr>
                <w:sz w:val="14"/>
                <w:szCs w:val="14"/>
              </w:rPr>
            </w:pPr>
            <w:r>
              <w:rPr>
                <w:sz w:val="14"/>
                <w:szCs w:val="14"/>
              </w:rPr>
              <w:t>23,639</w:t>
            </w:r>
          </w:p>
        </w:tc>
        <w:tc>
          <w:tcPr>
            <w:tcW w:w="900" w:type="dxa"/>
            <w:shd w:val="clear" w:color="auto" w:fill="auto"/>
            <w:noWrap/>
            <w:vAlign w:val="center"/>
          </w:tcPr>
          <w:p w:rsidR="00C156D0" w:rsidRDefault="00C156D0" w:rsidP="00C156D0">
            <w:pPr>
              <w:jc w:val="right"/>
              <w:rPr>
                <w:sz w:val="14"/>
                <w:szCs w:val="14"/>
              </w:rPr>
            </w:pPr>
            <w:r>
              <w:rPr>
                <w:sz w:val="14"/>
                <w:szCs w:val="14"/>
              </w:rPr>
              <w:t>25,217</w:t>
            </w:r>
          </w:p>
        </w:tc>
        <w:tc>
          <w:tcPr>
            <w:tcW w:w="900" w:type="dxa"/>
            <w:shd w:val="clear" w:color="auto" w:fill="auto"/>
            <w:noWrap/>
            <w:vAlign w:val="center"/>
          </w:tcPr>
          <w:p w:rsidR="00C156D0" w:rsidRDefault="00C156D0" w:rsidP="00C156D0">
            <w:pPr>
              <w:jc w:val="right"/>
              <w:rPr>
                <w:sz w:val="14"/>
                <w:szCs w:val="14"/>
              </w:rPr>
            </w:pPr>
            <w:r>
              <w:rPr>
                <w:sz w:val="14"/>
                <w:szCs w:val="14"/>
              </w:rPr>
              <w:t>22,516</w:t>
            </w:r>
          </w:p>
        </w:tc>
        <w:tc>
          <w:tcPr>
            <w:tcW w:w="990" w:type="dxa"/>
            <w:shd w:val="clear" w:color="auto" w:fill="auto"/>
            <w:noWrap/>
            <w:vAlign w:val="center"/>
          </w:tcPr>
          <w:p w:rsidR="00C156D0" w:rsidRDefault="00C156D0" w:rsidP="00C156D0">
            <w:pPr>
              <w:jc w:val="right"/>
              <w:rPr>
                <w:sz w:val="14"/>
                <w:szCs w:val="14"/>
              </w:rPr>
            </w:pPr>
            <w:r>
              <w:rPr>
                <w:sz w:val="14"/>
                <w:szCs w:val="14"/>
              </w:rPr>
              <w:t>20,714</w:t>
            </w:r>
          </w:p>
        </w:tc>
        <w:tc>
          <w:tcPr>
            <w:tcW w:w="900" w:type="dxa"/>
            <w:shd w:val="clear" w:color="auto" w:fill="auto"/>
            <w:noWrap/>
            <w:vAlign w:val="center"/>
          </w:tcPr>
          <w:p w:rsidR="00C156D0" w:rsidRDefault="00C156D0" w:rsidP="00C156D0">
            <w:pPr>
              <w:jc w:val="right"/>
              <w:rPr>
                <w:sz w:val="14"/>
                <w:szCs w:val="14"/>
              </w:rPr>
            </w:pPr>
            <w:r>
              <w:rPr>
                <w:sz w:val="14"/>
                <w:szCs w:val="14"/>
              </w:rPr>
              <w:t>18,890</w:t>
            </w:r>
          </w:p>
        </w:tc>
        <w:tc>
          <w:tcPr>
            <w:tcW w:w="792" w:type="dxa"/>
            <w:shd w:val="clear" w:color="auto" w:fill="auto"/>
            <w:noWrap/>
            <w:vAlign w:val="center"/>
          </w:tcPr>
          <w:p w:rsidR="00C156D0" w:rsidRDefault="00C156D0" w:rsidP="00C156D0">
            <w:pPr>
              <w:jc w:val="right"/>
              <w:rPr>
                <w:sz w:val="14"/>
                <w:szCs w:val="14"/>
              </w:rPr>
            </w:pPr>
            <w:r>
              <w:rPr>
                <w:sz w:val="14"/>
                <w:szCs w:val="14"/>
              </w:rPr>
              <w:t>16,315</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C156D0" w:rsidRDefault="00C156D0" w:rsidP="00C156D0">
            <w:pPr>
              <w:jc w:val="right"/>
              <w:rPr>
                <w:sz w:val="14"/>
                <w:szCs w:val="14"/>
              </w:rPr>
            </w:pPr>
            <w:r>
              <w:rPr>
                <w:sz w:val="14"/>
                <w:szCs w:val="14"/>
              </w:rPr>
              <w:t>62,195</w:t>
            </w:r>
          </w:p>
        </w:tc>
        <w:tc>
          <w:tcPr>
            <w:tcW w:w="900" w:type="dxa"/>
            <w:shd w:val="clear" w:color="auto" w:fill="auto"/>
            <w:noWrap/>
            <w:vAlign w:val="center"/>
          </w:tcPr>
          <w:p w:rsidR="00C156D0" w:rsidRDefault="00C156D0" w:rsidP="00C156D0">
            <w:pPr>
              <w:jc w:val="right"/>
              <w:rPr>
                <w:sz w:val="14"/>
                <w:szCs w:val="14"/>
              </w:rPr>
            </w:pPr>
            <w:r>
              <w:rPr>
                <w:sz w:val="14"/>
                <w:szCs w:val="14"/>
              </w:rPr>
              <w:t>72,284</w:t>
            </w:r>
          </w:p>
        </w:tc>
        <w:tc>
          <w:tcPr>
            <w:tcW w:w="900" w:type="dxa"/>
            <w:shd w:val="clear" w:color="auto" w:fill="auto"/>
            <w:noWrap/>
            <w:vAlign w:val="center"/>
          </w:tcPr>
          <w:p w:rsidR="00C156D0" w:rsidRDefault="00C156D0" w:rsidP="00C156D0">
            <w:pPr>
              <w:jc w:val="right"/>
              <w:rPr>
                <w:sz w:val="14"/>
                <w:szCs w:val="14"/>
              </w:rPr>
            </w:pPr>
            <w:r>
              <w:rPr>
                <w:sz w:val="14"/>
                <w:szCs w:val="14"/>
              </w:rPr>
              <w:t>68,734</w:t>
            </w:r>
          </w:p>
        </w:tc>
        <w:tc>
          <w:tcPr>
            <w:tcW w:w="990" w:type="dxa"/>
            <w:shd w:val="clear" w:color="auto" w:fill="auto"/>
            <w:noWrap/>
            <w:vAlign w:val="center"/>
          </w:tcPr>
          <w:p w:rsidR="00C156D0" w:rsidRDefault="00C156D0" w:rsidP="00C156D0">
            <w:pPr>
              <w:jc w:val="right"/>
              <w:rPr>
                <w:sz w:val="14"/>
                <w:szCs w:val="14"/>
              </w:rPr>
            </w:pPr>
            <w:r>
              <w:rPr>
                <w:sz w:val="14"/>
                <w:szCs w:val="14"/>
              </w:rPr>
              <w:t>76,883</w:t>
            </w:r>
          </w:p>
        </w:tc>
        <w:tc>
          <w:tcPr>
            <w:tcW w:w="900" w:type="dxa"/>
            <w:shd w:val="clear" w:color="auto" w:fill="auto"/>
            <w:noWrap/>
            <w:vAlign w:val="center"/>
          </w:tcPr>
          <w:p w:rsidR="00C156D0" w:rsidRDefault="00C156D0" w:rsidP="00C156D0">
            <w:pPr>
              <w:jc w:val="right"/>
              <w:rPr>
                <w:sz w:val="14"/>
                <w:szCs w:val="14"/>
              </w:rPr>
            </w:pPr>
            <w:r>
              <w:rPr>
                <w:sz w:val="14"/>
                <w:szCs w:val="14"/>
              </w:rPr>
              <w:t>77,888</w:t>
            </w:r>
          </w:p>
        </w:tc>
        <w:tc>
          <w:tcPr>
            <w:tcW w:w="792" w:type="dxa"/>
            <w:shd w:val="clear" w:color="auto" w:fill="auto"/>
            <w:noWrap/>
            <w:vAlign w:val="center"/>
          </w:tcPr>
          <w:p w:rsidR="00C156D0" w:rsidRDefault="00C156D0" w:rsidP="00C156D0">
            <w:pPr>
              <w:jc w:val="right"/>
              <w:rPr>
                <w:sz w:val="14"/>
                <w:szCs w:val="14"/>
              </w:rPr>
            </w:pPr>
            <w:r>
              <w:rPr>
                <w:sz w:val="14"/>
                <w:szCs w:val="14"/>
              </w:rPr>
              <w:t>80,367</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C156D0" w:rsidRDefault="00C156D0" w:rsidP="00C156D0">
            <w:pPr>
              <w:jc w:val="right"/>
              <w:rPr>
                <w:b/>
                <w:bCs/>
                <w:sz w:val="14"/>
                <w:szCs w:val="14"/>
              </w:rPr>
            </w:pPr>
            <w:r>
              <w:rPr>
                <w:b/>
                <w:bCs/>
                <w:sz w:val="14"/>
                <w:szCs w:val="14"/>
              </w:rPr>
              <w:t>23,109</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25,803</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22,673</w:t>
            </w:r>
          </w:p>
        </w:tc>
        <w:tc>
          <w:tcPr>
            <w:tcW w:w="990" w:type="dxa"/>
            <w:shd w:val="clear" w:color="auto" w:fill="auto"/>
            <w:noWrap/>
            <w:vAlign w:val="center"/>
          </w:tcPr>
          <w:p w:rsidR="00C156D0" w:rsidRDefault="00C156D0" w:rsidP="00C156D0">
            <w:pPr>
              <w:jc w:val="right"/>
              <w:rPr>
                <w:b/>
                <w:bCs/>
                <w:sz w:val="14"/>
                <w:szCs w:val="14"/>
              </w:rPr>
            </w:pPr>
            <w:r>
              <w:rPr>
                <w:b/>
                <w:bCs/>
                <w:sz w:val="14"/>
                <w:szCs w:val="14"/>
              </w:rPr>
              <w:t>30,068</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25,289</w:t>
            </w:r>
          </w:p>
        </w:tc>
        <w:tc>
          <w:tcPr>
            <w:tcW w:w="792" w:type="dxa"/>
            <w:shd w:val="clear" w:color="auto" w:fill="auto"/>
            <w:noWrap/>
            <w:vAlign w:val="center"/>
          </w:tcPr>
          <w:p w:rsidR="00C156D0" w:rsidRDefault="00C156D0" w:rsidP="00C156D0">
            <w:pPr>
              <w:jc w:val="right"/>
              <w:rPr>
                <w:b/>
                <w:bCs/>
                <w:sz w:val="14"/>
                <w:szCs w:val="14"/>
              </w:rPr>
            </w:pPr>
            <w:r>
              <w:rPr>
                <w:b/>
                <w:bCs/>
                <w:sz w:val="14"/>
                <w:szCs w:val="14"/>
              </w:rPr>
              <w:t>30,655</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C156D0" w:rsidRDefault="00C156D0" w:rsidP="00C156D0">
            <w:pPr>
              <w:jc w:val="right"/>
              <w:rPr>
                <w:sz w:val="14"/>
                <w:szCs w:val="14"/>
              </w:rPr>
            </w:pPr>
            <w:r>
              <w:rPr>
                <w:sz w:val="14"/>
                <w:szCs w:val="14"/>
              </w:rPr>
              <w:t>3,533</w:t>
            </w:r>
          </w:p>
        </w:tc>
        <w:tc>
          <w:tcPr>
            <w:tcW w:w="900" w:type="dxa"/>
            <w:shd w:val="clear" w:color="auto" w:fill="auto"/>
            <w:noWrap/>
            <w:vAlign w:val="center"/>
          </w:tcPr>
          <w:p w:rsidR="00C156D0" w:rsidRDefault="00C156D0" w:rsidP="00C156D0">
            <w:pPr>
              <w:jc w:val="right"/>
              <w:rPr>
                <w:sz w:val="14"/>
                <w:szCs w:val="14"/>
              </w:rPr>
            </w:pPr>
            <w:r>
              <w:rPr>
                <w:sz w:val="14"/>
                <w:szCs w:val="14"/>
              </w:rPr>
              <w:t>3,171</w:t>
            </w:r>
          </w:p>
        </w:tc>
        <w:tc>
          <w:tcPr>
            <w:tcW w:w="900" w:type="dxa"/>
            <w:shd w:val="clear" w:color="auto" w:fill="auto"/>
            <w:noWrap/>
            <w:vAlign w:val="center"/>
          </w:tcPr>
          <w:p w:rsidR="00C156D0" w:rsidRDefault="00C156D0" w:rsidP="00C156D0">
            <w:pPr>
              <w:jc w:val="right"/>
              <w:rPr>
                <w:sz w:val="14"/>
                <w:szCs w:val="14"/>
              </w:rPr>
            </w:pPr>
            <w:r>
              <w:rPr>
                <w:sz w:val="14"/>
                <w:szCs w:val="14"/>
              </w:rPr>
              <w:t>3,774</w:t>
            </w:r>
          </w:p>
        </w:tc>
        <w:tc>
          <w:tcPr>
            <w:tcW w:w="990" w:type="dxa"/>
            <w:shd w:val="clear" w:color="auto" w:fill="auto"/>
            <w:noWrap/>
            <w:vAlign w:val="center"/>
          </w:tcPr>
          <w:p w:rsidR="00C156D0" w:rsidRDefault="00C156D0" w:rsidP="00C156D0">
            <w:pPr>
              <w:jc w:val="right"/>
              <w:rPr>
                <w:sz w:val="14"/>
                <w:szCs w:val="14"/>
              </w:rPr>
            </w:pPr>
            <w:r>
              <w:rPr>
                <w:sz w:val="14"/>
                <w:szCs w:val="14"/>
              </w:rPr>
              <w:t>6,141</w:t>
            </w:r>
          </w:p>
        </w:tc>
        <w:tc>
          <w:tcPr>
            <w:tcW w:w="900" w:type="dxa"/>
            <w:shd w:val="clear" w:color="auto" w:fill="auto"/>
            <w:noWrap/>
            <w:vAlign w:val="center"/>
          </w:tcPr>
          <w:p w:rsidR="00C156D0" w:rsidRDefault="00C156D0" w:rsidP="00C156D0">
            <w:pPr>
              <w:jc w:val="right"/>
              <w:rPr>
                <w:sz w:val="14"/>
                <w:szCs w:val="14"/>
              </w:rPr>
            </w:pPr>
            <w:r>
              <w:rPr>
                <w:sz w:val="14"/>
                <w:szCs w:val="14"/>
              </w:rPr>
              <w:t>7,452</w:t>
            </w:r>
          </w:p>
        </w:tc>
        <w:tc>
          <w:tcPr>
            <w:tcW w:w="792" w:type="dxa"/>
            <w:shd w:val="clear" w:color="auto" w:fill="auto"/>
            <w:noWrap/>
            <w:vAlign w:val="center"/>
          </w:tcPr>
          <w:p w:rsidR="00C156D0" w:rsidRDefault="00C156D0" w:rsidP="00C156D0">
            <w:pPr>
              <w:jc w:val="right"/>
              <w:rPr>
                <w:sz w:val="14"/>
                <w:szCs w:val="14"/>
              </w:rPr>
            </w:pPr>
            <w:r>
              <w:rPr>
                <w:sz w:val="14"/>
                <w:szCs w:val="14"/>
              </w:rPr>
              <w:t>7,456</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C156D0" w:rsidRDefault="00C156D0" w:rsidP="00C156D0">
            <w:pPr>
              <w:jc w:val="right"/>
              <w:rPr>
                <w:sz w:val="14"/>
                <w:szCs w:val="14"/>
              </w:rPr>
            </w:pPr>
            <w:r>
              <w:rPr>
                <w:sz w:val="14"/>
                <w:szCs w:val="14"/>
              </w:rPr>
              <w:t>10,321</w:t>
            </w:r>
          </w:p>
        </w:tc>
        <w:tc>
          <w:tcPr>
            <w:tcW w:w="900" w:type="dxa"/>
            <w:shd w:val="clear" w:color="auto" w:fill="auto"/>
            <w:noWrap/>
            <w:vAlign w:val="center"/>
          </w:tcPr>
          <w:p w:rsidR="00C156D0" w:rsidRDefault="00C156D0" w:rsidP="00C156D0">
            <w:pPr>
              <w:jc w:val="right"/>
              <w:rPr>
                <w:sz w:val="14"/>
                <w:szCs w:val="14"/>
              </w:rPr>
            </w:pPr>
            <w:r>
              <w:rPr>
                <w:sz w:val="14"/>
                <w:szCs w:val="14"/>
              </w:rPr>
              <w:t>12,038</w:t>
            </w:r>
          </w:p>
        </w:tc>
        <w:tc>
          <w:tcPr>
            <w:tcW w:w="900" w:type="dxa"/>
            <w:shd w:val="clear" w:color="auto" w:fill="auto"/>
            <w:noWrap/>
            <w:vAlign w:val="center"/>
          </w:tcPr>
          <w:p w:rsidR="00C156D0" w:rsidRDefault="00C156D0" w:rsidP="00C156D0">
            <w:pPr>
              <w:jc w:val="right"/>
              <w:rPr>
                <w:sz w:val="14"/>
                <w:szCs w:val="14"/>
              </w:rPr>
            </w:pPr>
            <w:r>
              <w:rPr>
                <w:sz w:val="14"/>
                <w:szCs w:val="14"/>
              </w:rPr>
              <w:t>9,799</w:t>
            </w:r>
          </w:p>
        </w:tc>
        <w:tc>
          <w:tcPr>
            <w:tcW w:w="990" w:type="dxa"/>
            <w:shd w:val="clear" w:color="auto" w:fill="auto"/>
            <w:noWrap/>
            <w:vAlign w:val="center"/>
          </w:tcPr>
          <w:p w:rsidR="00C156D0" w:rsidRDefault="00C156D0" w:rsidP="00C156D0">
            <w:pPr>
              <w:jc w:val="right"/>
              <w:rPr>
                <w:sz w:val="14"/>
                <w:szCs w:val="14"/>
              </w:rPr>
            </w:pPr>
            <w:r>
              <w:rPr>
                <w:sz w:val="14"/>
                <w:szCs w:val="14"/>
              </w:rPr>
              <w:t>14,974</w:t>
            </w:r>
          </w:p>
        </w:tc>
        <w:tc>
          <w:tcPr>
            <w:tcW w:w="900" w:type="dxa"/>
            <w:shd w:val="clear" w:color="auto" w:fill="auto"/>
            <w:noWrap/>
            <w:vAlign w:val="center"/>
          </w:tcPr>
          <w:p w:rsidR="00C156D0" w:rsidRDefault="00C156D0" w:rsidP="00C156D0">
            <w:pPr>
              <w:jc w:val="right"/>
              <w:rPr>
                <w:sz w:val="14"/>
                <w:szCs w:val="14"/>
              </w:rPr>
            </w:pPr>
            <w:r>
              <w:rPr>
                <w:sz w:val="14"/>
                <w:szCs w:val="14"/>
              </w:rPr>
              <w:t>11,186</w:t>
            </w:r>
          </w:p>
        </w:tc>
        <w:tc>
          <w:tcPr>
            <w:tcW w:w="792" w:type="dxa"/>
            <w:shd w:val="clear" w:color="auto" w:fill="auto"/>
            <w:noWrap/>
            <w:vAlign w:val="center"/>
          </w:tcPr>
          <w:p w:rsidR="00C156D0" w:rsidRDefault="00C156D0" w:rsidP="00C156D0">
            <w:pPr>
              <w:jc w:val="right"/>
              <w:rPr>
                <w:sz w:val="14"/>
                <w:szCs w:val="14"/>
              </w:rPr>
            </w:pPr>
            <w:r>
              <w:rPr>
                <w:sz w:val="14"/>
                <w:szCs w:val="14"/>
              </w:rPr>
              <w:t>15,703</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C156D0" w:rsidRDefault="00C156D0" w:rsidP="00C156D0">
            <w:pPr>
              <w:jc w:val="right"/>
              <w:rPr>
                <w:sz w:val="14"/>
                <w:szCs w:val="14"/>
              </w:rPr>
            </w:pPr>
            <w:r>
              <w:rPr>
                <w:sz w:val="14"/>
                <w:szCs w:val="14"/>
              </w:rPr>
              <w:t>4,118</w:t>
            </w:r>
          </w:p>
        </w:tc>
        <w:tc>
          <w:tcPr>
            <w:tcW w:w="900" w:type="dxa"/>
            <w:shd w:val="clear" w:color="auto" w:fill="auto"/>
            <w:noWrap/>
            <w:vAlign w:val="center"/>
          </w:tcPr>
          <w:p w:rsidR="00C156D0" w:rsidRDefault="00C156D0" w:rsidP="00C156D0">
            <w:pPr>
              <w:jc w:val="right"/>
              <w:rPr>
                <w:sz w:val="14"/>
                <w:szCs w:val="14"/>
              </w:rPr>
            </w:pPr>
            <w:r>
              <w:rPr>
                <w:sz w:val="14"/>
                <w:szCs w:val="14"/>
              </w:rPr>
              <w:t>3,825</w:t>
            </w:r>
          </w:p>
        </w:tc>
        <w:tc>
          <w:tcPr>
            <w:tcW w:w="900" w:type="dxa"/>
            <w:shd w:val="clear" w:color="auto" w:fill="auto"/>
            <w:noWrap/>
            <w:vAlign w:val="center"/>
          </w:tcPr>
          <w:p w:rsidR="00C156D0" w:rsidRDefault="00C156D0" w:rsidP="00C156D0">
            <w:pPr>
              <w:jc w:val="right"/>
              <w:rPr>
                <w:sz w:val="14"/>
                <w:szCs w:val="14"/>
              </w:rPr>
            </w:pPr>
            <w:r>
              <w:rPr>
                <w:sz w:val="14"/>
                <w:szCs w:val="14"/>
              </w:rPr>
              <w:t>1,775</w:t>
            </w:r>
          </w:p>
        </w:tc>
        <w:tc>
          <w:tcPr>
            <w:tcW w:w="990" w:type="dxa"/>
            <w:shd w:val="clear" w:color="auto" w:fill="auto"/>
            <w:noWrap/>
            <w:vAlign w:val="center"/>
          </w:tcPr>
          <w:p w:rsidR="00C156D0" w:rsidRDefault="00C156D0" w:rsidP="00C156D0">
            <w:pPr>
              <w:jc w:val="right"/>
              <w:rPr>
                <w:sz w:val="14"/>
                <w:szCs w:val="14"/>
              </w:rPr>
            </w:pPr>
            <w:r>
              <w:rPr>
                <w:sz w:val="14"/>
                <w:szCs w:val="14"/>
              </w:rPr>
              <w:t>2,554</w:t>
            </w:r>
          </w:p>
        </w:tc>
        <w:tc>
          <w:tcPr>
            <w:tcW w:w="900" w:type="dxa"/>
            <w:shd w:val="clear" w:color="auto" w:fill="auto"/>
            <w:noWrap/>
            <w:vAlign w:val="center"/>
          </w:tcPr>
          <w:p w:rsidR="00C156D0" w:rsidRDefault="00C156D0" w:rsidP="00C156D0">
            <w:pPr>
              <w:jc w:val="right"/>
              <w:rPr>
                <w:sz w:val="14"/>
                <w:szCs w:val="14"/>
              </w:rPr>
            </w:pPr>
            <w:r>
              <w:rPr>
                <w:sz w:val="14"/>
                <w:szCs w:val="14"/>
              </w:rPr>
              <w:t>3,016</w:t>
            </w:r>
          </w:p>
        </w:tc>
        <w:tc>
          <w:tcPr>
            <w:tcW w:w="792" w:type="dxa"/>
            <w:shd w:val="clear" w:color="auto" w:fill="auto"/>
            <w:noWrap/>
            <w:vAlign w:val="center"/>
          </w:tcPr>
          <w:p w:rsidR="00C156D0" w:rsidRDefault="00C156D0" w:rsidP="00C156D0">
            <w:pPr>
              <w:jc w:val="right"/>
              <w:rPr>
                <w:sz w:val="14"/>
                <w:szCs w:val="14"/>
              </w:rPr>
            </w:pPr>
            <w:r>
              <w:rPr>
                <w:sz w:val="14"/>
                <w:szCs w:val="14"/>
              </w:rPr>
              <w:t>3,831</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C156D0" w:rsidRDefault="00C156D0" w:rsidP="00C156D0">
            <w:pPr>
              <w:jc w:val="right"/>
              <w:rPr>
                <w:sz w:val="14"/>
                <w:szCs w:val="14"/>
              </w:rPr>
            </w:pPr>
            <w:r>
              <w:rPr>
                <w:sz w:val="14"/>
                <w:szCs w:val="14"/>
              </w:rPr>
              <w:t>24</w:t>
            </w:r>
          </w:p>
        </w:tc>
        <w:tc>
          <w:tcPr>
            <w:tcW w:w="900" w:type="dxa"/>
            <w:shd w:val="clear" w:color="auto" w:fill="auto"/>
            <w:noWrap/>
            <w:vAlign w:val="center"/>
          </w:tcPr>
          <w:p w:rsidR="00C156D0" w:rsidRDefault="00C156D0" w:rsidP="00C156D0">
            <w:pPr>
              <w:jc w:val="right"/>
              <w:rPr>
                <w:sz w:val="14"/>
                <w:szCs w:val="14"/>
              </w:rPr>
            </w:pPr>
            <w:r>
              <w:rPr>
                <w:sz w:val="14"/>
                <w:szCs w:val="14"/>
              </w:rPr>
              <w:t>22</w:t>
            </w:r>
          </w:p>
        </w:tc>
        <w:tc>
          <w:tcPr>
            <w:tcW w:w="900" w:type="dxa"/>
            <w:shd w:val="clear" w:color="auto" w:fill="auto"/>
            <w:noWrap/>
            <w:vAlign w:val="center"/>
          </w:tcPr>
          <w:p w:rsidR="00C156D0" w:rsidRDefault="00C156D0" w:rsidP="00C156D0">
            <w:pPr>
              <w:jc w:val="right"/>
              <w:rPr>
                <w:sz w:val="14"/>
                <w:szCs w:val="14"/>
              </w:rPr>
            </w:pPr>
            <w:r>
              <w:rPr>
                <w:sz w:val="14"/>
                <w:szCs w:val="14"/>
              </w:rPr>
              <w:t>24</w:t>
            </w:r>
          </w:p>
        </w:tc>
        <w:tc>
          <w:tcPr>
            <w:tcW w:w="990" w:type="dxa"/>
            <w:shd w:val="clear" w:color="auto" w:fill="auto"/>
            <w:noWrap/>
            <w:vAlign w:val="center"/>
          </w:tcPr>
          <w:p w:rsidR="00C156D0" w:rsidRDefault="00C156D0" w:rsidP="00C156D0">
            <w:pPr>
              <w:jc w:val="right"/>
              <w:rPr>
                <w:sz w:val="14"/>
                <w:szCs w:val="14"/>
              </w:rPr>
            </w:pPr>
            <w:r>
              <w:rPr>
                <w:sz w:val="14"/>
                <w:szCs w:val="14"/>
              </w:rPr>
              <w:t>25</w:t>
            </w:r>
          </w:p>
        </w:tc>
        <w:tc>
          <w:tcPr>
            <w:tcW w:w="900" w:type="dxa"/>
            <w:shd w:val="clear" w:color="auto" w:fill="auto"/>
            <w:noWrap/>
            <w:vAlign w:val="center"/>
          </w:tcPr>
          <w:p w:rsidR="00C156D0" w:rsidRDefault="00C156D0" w:rsidP="00C156D0">
            <w:pPr>
              <w:jc w:val="right"/>
              <w:rPr>
                <w:sz w:val="14"/>
                <w:szCs w:val="14"/>
              </w:rPr>
            </w:pPr>
            <w:r>
              <w:rPr>
                <w:sz w:val="14"/>
                <w:szCs w:val="14"/>
              </w:rPr>
              <w:t>27</w:t>
            </w:r>
          </w:p>
        </w:tc>
        <w:tc>
          <w:tcPr>
            <w:tcW w:w="792" w:type="dxa"/>
            <w:shd w:val="clear" w:color="auto" w:fill="auto"/>
            <w:noWrap/>
            <w:vAlign w:val="center"/>
          </w:tcPr>
          <w:p w:rsidR="00C156D0" w:rsidRDefault="00C156D0" w:rsidP="00C156D0">
            <w:pPr>
              <w:jc w:val="right"/>
              <w:rPr>
                <w:sz w:val="14"/>
                <w:szCs w:val="14"/>
              </w:rPr>
            </w:pPr>
            <w:r>
              <w:rPr>
                <w:sz w:val="14"/>
                <w:szCs w:val="14"/>
              </w:rPr>
              <w:t>25</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C156D0" w:rsidRDefault="00C156D0" w:rsidP="00C156D0">
            <w:pPr>
              <w:jc w:val="right"/>
              <w:rPr>
                <w:sz w:val="14"/>
                <w:szCs w:val="14"/>
              </w:rPr>
            </w:pPr>
            <w:r>
              <w:rPr>
                <w:sz w:val="14"/>
                <w:szCs w:val="14"/>
              </w:rPr>
              <w:t>5,114</w:t>
            </w:r>
          </w:p>
        </w:tc>
        <w:tc>
          <w:tcPr>
            <w:tcW w:w="900" w:type="dxa"/>
            <w:shd w:val="clear" w:color="auto" w:fill="auto"/>
            <w:noWrap/>
            <w:vAlign w:val="center"/>
          </w:tcPr>
          <w:p w:rsidR="00C156D0" w:rsidRDefault="00C156D0" w:rsidP="00C156D0">
            <w:pPr>
              <w:jc w:val="right"/>
              <w:rPr>
                <w:sz w:val="14"/>
                <w:szCs w:val="14"/>
              </w:rPr>
            </w:pPr>
            <w:r>
              <w:rPr>
                <w:sz w:val="14"/>
                <w:szCs w:val="14"/>
              </w:rPr>
              <w:t>6,746</w:t>
            </w:r>
          </w:p>
        </w:tc>
        <w:tc>
          <w:tcPr>
            <w:tcW w:w="900" w:type="dxa"/>
            <w:shd w:val="clear" w:color="auto" w:fill="auto"/>
            <w:noWrap/>
            <w:vAlign w:val="center"/>
          </w:tcPr>
          <w:p w:rsidR="00C156D0" w:rsidRDefault="00C156D0" w:rsidP="00C156D0">
            <w:pPr>
              <w:jc w:val="right"/>
              <w:rPr>
                <w:sz w:val="14"/>
                <w:szCs w:val="14"/>
              </w:rPr>
            </w:pPr>
            <w:r>
              <w:rPr>
                <w:sz w:val="14"/>
                <w:szCs w:val="14"/>
              </w:rPr>
              <w:t>7,303</w:t>
            </w:r>
          </w:p>
        </w:tc>
        <w:tc>
          <w:tcPr>
            <w:tcW w:w="990" w:type="dxa"/>
            <w:shd w:val="clear" w:color="auto" w:fill="auto"/>
            <w:noWrap/>
            <w:vAlign w:val="center"/>
          </w:tcPr>
          <w:p w:rsidR="00C156D0" w:rsidRDefault="00C156D0" w:rsidP="00C156D0">
            <w:pPr>
              <w:jc w:val="right"/>
              <w:rPr>
                <w:sz w:val="14"/>
                <w:szCs w:val="14"/>
              </w:rPr>
            </w:pPr>
            <w:r>
              <w:rPr>
                <w:sz w:val="14"/>
                <w:szCs w:val="14"/>
              </w:rPr>
              <w:t>6,373</w:t>
            </w:r>
          </w:p>
        </w:tc>
        <w:tc>
          <w:tcPr>
            <w:tcW w:w="900" w:type="dxa"/>
            <w:shd w:val="clear" w:color="auto" w:fill="auto"/>
            <w:noWrap/>
            <w:vAlign w:val="center"/>
          </w:tcPr>
          <w:p w:rsidR="00C156D0" w:rsidRDefault="00C156D0" w:rsidP="00C156D0">
            <w:pPr>
              <w:jc w:val="right"/>
              <w:rPr>
                <w:sz w:val="14"/>
                <w:szCs w:val="14"/>
              </w:rPr>
            </w:pPr>
            <w:r>
              <w:rPr>
                <w:sz w:val="14"/>
                <w:szCs w:val="14"/>
              </w:rPr>
              <w:t>3,607</w:t>
            </w:r>
          </w:p>
        </w:tc>
        <w:tc>
          <w:tcPr>
            <w:tcW w:w="792" w:type="dxa"/>
            <w:shd w:val="clear" w:color="auto" w:fill="auto"/>
            <w:noWrap/>
            <w:vAlign w:val="center"/>
          </w:tcPr>
          <w:p w:rsidR="00C156D0" w:rsidRDefault="00C156D0" w:rsidP="00C156D0">
            <w:pPr>
              <w:jc w:val="right"/>
              <w:rPr>
                <w:sz w:val="14"/>
                <w:szCs w:val="14"/>
              </w:rPr>
            </w:pPr>
            <w:r>
              <w:rPr>
                <w:sz w:val="14"/>
                <w:szCs w:val="14"/>
              </w:rPr>
              <w:t>3,640</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C156D0" w:rsidRDefault="00C156D0" w:rsidP="00C156D0">
            <w:pPr>
              <w:jc w:val="right"/>
              <w:rPr>
                <w:b/>
                <w:bCs/>
                <w:sz w:val="14"/>
                <w:szCs w:val="14"/>
              </w:rPr>
            </w:pPr>
            <w:r>
              <w:rPr>
                <w:b/>
                <w:bCs/>
                <w:sz w:val="14"/>
                <w:szCs w:val="14"/>
              </w:rPr>
              <w:t>624</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624</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614</w:t>
            </w:r>
          </w:p>
        </w:tc>
        <w:tc>
          <w:tcPr>
            <w:tcW w:w="990" w:type="dxa"/>
            <w:shd w:val="clear" w:color="auto" w:fill="auto"/>
            <w:noWrap/>
            <w:vAlign w:val="center"/>
          </w:tcPr>
          <w:p w:rsidR="00C156D0" w:rsidRDefault="00C156D0" w:rsidP="00C156D0">
            <w:pPr>
              <w:jc w:val="right"/>
              <w:rPr>
                <w:b/>
                <w:bCs/>
                <w:sz w:val="14"/>
                <w:szCs w:val="14"/>
              </w:rPr>
            </w:pPr>
            <w:r>
              <w:rPr>
                <w:b/>
                <w:bCs/>
                <w:sz w:val="14"/>
                <w:szCs w:val="14"/>
              </w:rPr>
              <w:t>614</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1,266</w:t>
            </w:r>
          </w:p>
        </w:tc>
        <w:tc>
          <w:tcPr>
            <w:tcW w:w="792" w:type="dxa"/>
            <w:shd w:val="clear" w:color="auto" w:fill="auto"/>
            <w:noWrap/>
            <w:vAlign w:val="center"/>
          </w:tcPr>
          <w:p w:rsidR="00C156D0" w:rsidRDefault="00C156D0" w:rsidP="00C156D0">
            <w:pPr>
              <w:jc w:val="right"/>
              <w:rPr>
                <w:b/>
                <w:bCs/>
                <w:sz w:val="14"/>
                <w:szCs w:val="14"/>
              </w:rPr>
            </w:pPr>
            <w:r>
              <w:rPr>
                <w:b/>
                <w:bCs/>
                <w:sz w:val="14"/>
                <w:szCs w:val="14"/>
              </w:rPr>
              <w:t>1,116</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C156D0" w:rsidRDefault="00C156D0" w:rsidP="00C156D0">
            <w:pPr>
              <w:jc w:val="right"/>
              <w:rPr>
                <w:b/>
                <w:bCs/>
                <w:sz w:val="14"/>
                <w:szCs w:val="14"/>
              </w:rPr>
            </w:pPr>
            <w:r>
              <w:rPr>
                <w:b/>
                <w:bCs/>
                <w:sz w:val="14"/>
                <w:szCs w:val="14"/>
              </w:rPr>
              <w:t>1,599</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1,953</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1,682</w:t>
            </w:r>
          </w:p>
        </w:tc>
        <w:tc>
          <w:tcPr>
            <w:tcW w:w="990" w:type="dxa"/>
            <w:shd w:val="clear" w:color="auto" w:fill="auto"/>
            <w:noWrap/>
            <w:vAlign w:val="center"/>
          </w:tcPr>
          <w:p w:rsidR="00C156D0" w:rsidRDefault="00C156D0" w:rsidP="00C156D0">
            <w:pPr>
              <w:jc w:val="right"/>
              <w:rPr>
                <w:b/>
                <w:bCs/>
                <w:sz w:val="14"/>
                <w:szCs w:val="14"/>
              </w:rPr>
            </w:pPr>
            <w:r>
              <w:rPr>
                <w:b/>
                <w:bCs/>
                <w:sz w:val="14"/>
                <w:szCs w:val="14"/>
              </w:rPr>
              <w:t>1,853</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2,252</w:t>
            </w:r>
          </w:p>
        </w:tc>
        <w:tc>
          <w:tcPr>
            <w:tcW w:w="792" w:type="dxa"/>
            <w:shd w:val="clear" w:color="auto" w:fill="auto"/>
            <w:noWrap/>
            <w:vAlign w:val="center"/>
          </w:tcPr>
          <w:p w:rsidR="00C156D0" w:rsidRDefault="00C156D0" w:rsidP="00C156D0">
            <w:pPr>
              <w:jc w:val="right"/>
              <w:rPr>
                <w:b/>
                <w:bCs/>
                <w:sz w:val="14"/>
                <w:szCs w:val="14"/>
              </w:rPr>
            </w:pPr>
            <w:r>
              <w:rPr>
                <w:b/>
                <w:bCs/>
                <w:sz w:val="14"/>
                <w:szCs w:val="14"/>
              </w:rPr>
              <w:t>2,844</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C156D0" w:rsidRDefault="00C156D0" w:rsidP="00C156D0">
            <w:pPr>
              <w:jc w:val="right"/>
              <w:rPr>
                <w:b/>
                <w:bCs/>
                <w:sz w:val="14"/>
                <w:szCs w:val="14"/>
              </w:rPr>
            </w:pPr>
            <w:r>
              <w:rPr>
                <w:b/>
                <w:bCs/>
                <w:sz w:val="14"/>
                <w:szCs w:val="14"/>
              </w:rPr>
              <w:t>340</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281</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5</w:t>
            </w:r>
          </w:p>
        </w:tc>
        <w:tc>
          <w:tcPr>
            <w:tcW w:w="990" w:type="dxa"/>
            <w:shd w:val="clear" w:color="auto" w:fill="auto"/>
            <w:noWrap/>
            <w:vAlign w:val="center"/>
          </w:tcPr>
          <w:p w:rsidR="00C156D0" w:rsidRDefault="00C156D0" w:rsidP="00C156D0">
            <w:pPr>
              <w:jc w:val="right"/>
              <w:rPr>
                <w:b/>
                <w:bCs/>
                <w:sz w:val="14"/>
                <w:szCs w:val="14"/>
              </w:rPr>
            </w:pPr>
            <w:r>
              <w:rPr>
                <w:b/>
                <w:bCs/>
                <w:sz w:val="14"/>
                <w:szCs w:val="14"/>
              </w:rPr>
              <w:t>71</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70</w:t>
            </w:r>
          </w:p>
        </w:tc>
        <w:tc>
          <w:tcPr>
            <w:tcW w:w="792" w:type="dxa"/>
            <w:shd w:val="clear" w:color="auto" w:fill="auto"/>
            <w:noWrap/>
            <w:vAlign w:val="center"/>
          </w:tcPr>
          <w:p w:rsidR="00C156D0" w:rsidRDefault="00C156D0" w:rsidP="00C156D0">
            <w:pPr>
              <w:jc w:val="right"/>
              <w:rPr>
                <w:b/>
                <w:bCs/>
                <w:sz w:val="14"/>
                <w:szCs w:val="14"/>
              </w:rPr>
            </w:pPr>
            <w:r>
              <w:rPr>
                <w:b/>
                <w:bCs/>
                <w:sz w:val="14"/>
                <w:szCs w:val="14"/>
              </w:rPr>
              <w:t>64</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C156D0" w:rsidRDefault="00C156D0" w:rsidP="00C156D0">
            <w:pPr>
              <w:jc w:val="right"/>
              <w:rPr>
                <w:b/>
                <w:bCs/>
                <w:sz w:val="14"/>
                <w:szCs w:val="14"/>
              </w:rPr>
            </w:pPr>
            <w:r>
              <w:rPr>
                <w:b/>
                <w:bCs/>
                <w:sz w:val="14"/>
                <w:szCs w:val="14"/>
              </w:rPr>
              <w:t>113,920</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120,534</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119,453</w:t>
            </w:r>
          </w:p>
        </w:tc>
        <w:tc>
          <w:tcPr>
            <w:tcW w:w="990" w:type="dxa"/>
            <w:shd w:val="clear" w:color="auto" w:fill="auto"/>
            <w:noWrap/>
            <w:vAlign w:val="center"/>
          </w:tcPr>
          <w:p w:rsidR="00C156D0" w:rsidRDefault="00C156D0" w:rsidP="00C156D0">
            <w:pPr>
              <w:jc w:val="right"/>
              <w:rPr>
                <w:b/>
                <w:bCs/>
                <w:sz w:val="14"/>
                <w:szCs w:val="14"/>
              </w:rPr>
            </w:pPr>
            <w:r>
              <w:rPr>
                <w:b/>
                <w:bCs/>
                <w:sz w:val="14"/>
                <w:szCs w:val="14"/>
              </w:rPr>
              <w:t>136,909</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137,046</w:t>
            </w:r>
          </w:p>
        </w:tc>
        <w:tc>
          <w:tcPr>
            <w:tcW w:w="792" w:type="dxa"/>
            <w:shd w:val="clear" w:color="auto" w:fill="auto"/>
            <w:noWrap/>
            <w:vAlign w:val="center"/>
          </w:tcPr>
          <w:p w:rsidR="00C156D0" w:rsidRDefault="00C156D0" w:rsidP="00C156D0">
            <w:pPr>
              <w:jc w:val="right"/>
              <w:rPr>
                <w:b/>
                <w:bCs/>
                <w:sz w:val="14"/>
                <w:szCs w:val="14"/>
              </w:rPr>
            </w:pPr>
            <w:r>
              <w:rPr>
                <w:b/>
                <w:bCs/>
                <w:sz w:val="14"/>
                <w:szCs w:val="14"/>
              </w:rPr>
              <w:t>136,210</w:t>
            </w:r>
          </w:p>
        </w:tc>
      </w:tr>
      <w:tr w:rsidR="00C156D0" w:rsidRPr="00D5469A" w:rsidTr="00DF4C38">
        <w:trPr>
          <w:trHeight w:hRule="exact" w:val="288"/>
        </w:trPr>
        <w:tc>
          <w:tcPr>
            <w:tcW w:w="4068" w:type="dxa"/>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C156D0" w:rsidRDefault="00C156D0" w:rsidP="00C156D0">
            <w:pPr>
              <w:jc w:val="right"/>
              <w:rPr>
                <w:b/>
                <w:bCs/>
                <w:sz w:val="14"/>
                <w:szCs w:val="14"/>
              </w:rPr>
            </w:pPr>
            <w:r>
              <w:rPr>
                <w:b/>
                <w:bCs/>
                <w:sz w:val="14"/>
                <w:szCs w:val="14"/>
              </w:rPr>
              <w:t>8,088</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8,659</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11,451</w:t>
            </w:r>
          </w:p>
        </w:tc>
        <w:tc>
          <w:tcPr>
            <w:tcW w:w="990" w:type="dxa"/>
            <w:shd w:val="clear" w:color="auto" w:fill="auto"/>
            <w:noWrap/>
            <w:vAlign w:val="center"/>
          </w:tcPr>
          <w:p w:rsidR="00C156D0" w:rsidRDefault="00C156D0" w:rsidP="00C156D0">
            <w:pPr>
              <w:jc w:val="right"/>
              <w:rPr>
                <w:b/>
                <w:bCs/>
                <w:sz w:val="14"/>
                <w:szCs w:val="14"/>
              </w:rPr>
            </w:pPr>
            <w:r>
              <w:rPr>
                <w:b/>
                <w:bCs/>
                <w:sz w:val="14"/>
                <w:szCs w:val="14"/>
              </w:rPr>
              <w:t>14,141</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14,367</w:t>
            </w:r>
          </w:p>
        </w:tc>
        <w:tc>
          <w:tcPr>
            <w:tcW w:w="792" w:type="dxa"/>
            <w:shd w:val="clear" w:color="auto" w:fill="auto"/>
            <w:noWrap/>
            <w:vAlign w:val="center"/>
          </w:tcPr>
          <w:p w:rsidR="00C156D0" w:rsidRDefault="00C156D0" w:rsidP="00C156D0">
            <w:pPr>
              <w:jc w:val="right"/>
              <w:rPr>
                <w:b/>
                <w:bCs/>
                <w:sz w:val="14"/>
                <w:szCs w:val="14"/>
              </w:rPr>
            </w:pPr>
            <w:r>
              <w:rPr>
                <w:b/>
                <w:bCs/>
                <w:sz w:val="14"/>
                <w:szCs w:val="14"/>
              </w:rPr>
              <w:t>16,824</w:t>
            </w:r>
          </w:p>
        </w:tc>
      </w:tr>
      <w:tr w:rsidR="00C156D0" w:rsidRPr="00D5469A" w:rsidTr="00DF4C38">
        <w:trPr>
          <w:trHeight w:hRule="exact" w:val="259"/>
        </w:trPr>
        <w:tc>
          <w:tcPr>
            <w:tcW w:w="4068" w:type="dxa"/>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C156D0" w:rsidRDefault="00C156D0" w:rsidP="00C156D0">
            <w:pPr>
              <w:jc w:val="right"/>
              <w:rPr>
                <w:b/>
                <w:bCs/>
                <w:sz w:val="14"/>
                <w:szCs w:val="14"/>
              </w:rPr>
            </w:pPr>
            <w:r>
              <w:rPr>
                <w:b/>
                <w:bCs/>
                <w:sz w:val="14"/>
                <w:szCs w:val="14"/>
              </w:rPr>
              <w:t>-</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w:t>
            </w:r>
          </w:p>
        </w:tc>
        <w:tc>
          <w:tcPr>
            <w:tcW w:w="990" w:type="dxa"/>
            <w:shd w:val="clear" w:color="auto" w:fill="auto"/>
            <w:noWrap/>
            <w:vAlign w:val="center"/>
          </w:tcPr>
          <w:p w:rsidR="00C156D0" w:rsidRDefault="00C156D0" w:rsidP="00C156D0">
            <w:pPr>
              <w:jc w:val="right"/>
              <w:rPr>
                <w:b/>
                <w:bCs/>
                <w:sz w:val="14"/>
                <w:szCs w:val="14"/>
              </w:rPr>
            </w:pPr>
            <w:r>
              <w:rPr>
                <w:b/>
                <w:bCs/>
                <w:sz w:val="14"/>
                <w:szCs w:val="14"/>
              </w:rPr>
              <w:t>-</w:t>
            </w:r>
          </w:p>
        </w:tc>
        <w:tc>
          <w:tcPr>
            <w:tcW w:w="900" w:type="dxa"/>
            <w:shd w:val="clear" w:color="auto" w:fill="auto"/>
            <w:noWrap/>
            <w:vAlign w:val="center"/>
          </w:tcPr>
          <w:p w:rsidR="00C156D0" w:rsidRDefault="00C156D0" w:rsidP="00C156D0">
            <w:pPr>
              <w:jc w:val="right"/>
              <w:rPr>
                <w:b/>
                <w:bCs/>
                <w:sz w:val="14"/>
                <w:szCs w:val="14"/>
              </w:rPr>
            </w:pPr>
            <w:r>
              <w:rPr>
                <w:b/>
                <w:bCs/>
                <w:sz w:val="14"/>
                <w:szCs w:val="14"/>
              </w:rPr>
              <w:t>-</w:t>
            </w:r>
          </w:p>
        </w:tc>
        <w:tc>
          <w:tcPr>
            <w:tcW w:w="792" w:type="dxa"/>
            <w:shd w:val="clear" w:color="auto" w:fill="auto"/>
            <w:noWrap/>
            <w:vAlign w:val="center"/>
          </w:tcPr>
          <w:p w:rsidR="00C156D0" w:rsidRDefault="00C156D0" w:rsidP="00C156D0">
            <w:pPr>
              <w:jc w:val="right"/>
              <w:rPr>
                <w:b/>
                <w:bCs/>
                <w:sz w:val="14"/>
                <w:szCs w:val="14"/>
              </w:rPr>
            </w:pPr>
            <w:r>
              <w:rPr>
                <w:b/>
                <w:bCs/>
                <w:sz w:val="14"/>
                <w:szCs w:val="14"/>
              </w:rPr>
              <w:t>-</w:t>
            </w:r>
          </w:p>
        </w:tc>
      </w:tr>
      <w:tr w:rsidR="00C156D0" w:rsidRPr="00D5469A" w:rsidTr="00DF4C38">
        <w:trPr>
          <w:trHeight w:hRule="exact" w:val="259"/>
        </w:trPr>
        <w:tc>
          <w:tcPr>
            <w:tcW w:w="4068" w:type="dxa"/>
            <w:tcBorders>
              <w:bottom w:val="single" w:sz="12" w:space="0" w:color="auto"/>
            </w:tcBorders>
            <w:shd w:val="clear" w:color="auto" w:fill="auto"/>
            <w:noWrap/>
            <w:vAlign w:val="center"/>
          </w:tcPr>
          <w:p w:rsidR="00C156D0" w:rsidRPr="00D5469A" w:rsidRDefault="00C156D0" w:rsidP="00C156D0">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w:t>
            </w:r>
          </w:p>
        </w:tc>
      </w:tr>
      <w:tr w:rsidR="00C156D0"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C156D0" w:rsidRPr="00D5469A" w:rsidRDefault="00C156D0" w:rsidP="00C156D0">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233,514</w:t>
            </w:r>
          </w:p>
        </w:tc>
        <w:tc>
          <w:tcPr>
            <w:tcW w:w="900" w:type="dxa"/>
            <w:tcBorders>
              <w:top w:val="single" w:sz="12" w:space="0" w:color="auto"/>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255,355</w:t>
            </w:r>
          </w:p>
        </w:tc>
        <w:tc>
          <w:tcPr>
            <w:tcW w:w="900" w:type="dxa"/>
            <w:tcBorders>
              <w:top w:val="single" w:sz="12" w:space="0" w:color="auto"/>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247,129</w:t>
            </w:r>
          </w:p>
        </w:tc>
        <w:tc>
          <w:tcPr>
            <w:tcW w:w="990" w:type="dxa"/>
            <w:tcBorders>
              <w:top w:val="single" w:sz="12" w:space="0" w:color="auto"/>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281,252</w:t>
            </w:r>
          </w:p>
        </w:tc>
        <w:tc>
          <w:tcPr>
            <w:tcW w:w="900" w:type="dxa"/>
            <w:tcBorders>
              <w:top w:val="single" w:sz="12" w:space="0" w:color="auto"/>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277,069</w:t>
            </w:r>
          </w:p>
        </w:tc>
        <w:tc>
          <w:tcPr>
            <w:tcW w:w="792" w:type="dxa"/>
            <w:tcBorders>
              <w:top w:val="single" w:sz="12" w:space="0" w:color="auto"/>
              <w:bottom w:val="single" w:sz="12" w:space="0" w:color="auto"/>
            </w:tcBorders>
            <w:shd w:val="clear" w:color="auto" w:fill="auto"/>
            <w:noWrap/>
            <w:vAlign w:val="center"/>
          </w:tcPr>
          <w:p w:rsidR="00C156D0" w:rsidRDefault="00C156D0" w:rsidP="00C156D0">
            <w:pPr>
              <w:jc w:val="right"/>
              <w:rPr>
                <w:b/>
                <w:bCs/>
                <w:sz w:val="14"/>
                <w:szCs w:val="14"/>
              </w:rPr>
            </w:pPr>
            <w:r>
              <w:rPr>
                <w:b/>
                <w:bCs/>
                <w:sz w:val="14"/>
                <w:szCs w:val="14"/>
              </w:rPr>
              <w:t>284,394</w:t>
            </w:r>
          </w:p>
        </w:tc>
      </w:tr>
      <w:tr w:rsidR="00C156D0" w:rsidRPr="00D5469A" w:rsidTr="007B3B61">
        <w:trPr>
          <w:trHeight w:val="216"/>
        </w:trPr>
        <w:tc>
          <w:tcPr>
            <w:tcW w:w="9720" w:type="dxa"/>
            <w:gridSpan w:val="7"/>
            <w:tcBorders>
              <w:top w:val="single" w:sz="12" w:space="0" w:color="auto"/>
            </w:tcBorders>
            <w:shd w:val="clear" w:color="auto" w:fill="auto"/>
            <w:noWrap/>
            <w:vAlign w:val="center"/>
          </w:tcPr>
          <w:p w:rsidR="00C156D0" w:rsidRPr="00D5469A" w:rsidRDefault="00C156D0" w:rsidP="00C156D0">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C1781B" w:rsidP="004243B0">
            <w:pPr>
              <w:rPr>
                <w:b/>
                <w:color w:val="auto"/>
                <w:szCs w:val="16"/>
              </w:rPr>
            </w:pPr>
            <w:r>
              <w:rPr>
                <w:b/>
                <w:color w:val="auto"/>
                <w:szCs w:val="16"/>
              </w:rPr>
              <w:t>Jun</w:t>
            </w:r>
            <w:r w:rsidR="0040006F" w:rsidRPr="00D5469A">
              <w:rPr>
                <w:b/>
                <w:color w:val="auto"/>
                <w:szCs w:val="16"/>
              </w:rPr>
              <w:t>-1</w:t>
            </w:r>
            <w:r w:rsidR="007A7EBA">
              <w:rPr>
                <w:b/>
                <w:color w:val="auto"/>
                <w:szCs w:val="16"/>
              </w:rPr>
              <w:t>8</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C156D0" w:rsidP="004243B0">
            <w:pPr>
              <w:rPr>
                <w:b/>
                <w:color w:val="auto"/>
                <w:szCs w:val="16"/>
              </w:rPr>
            </w:pPr>
            <w:r>
              <w:rPr>
                <w:b/>
                <w:color w:val="auto"/>
                <w:szCs w:val="16"/>
              </w:rPr>
              <w:t>Jun</w:t>
            </w:r>
            <w:r w:rsidR="0040006F">
              <w:rPr>
                <w:b/>
                <w:color w:val="auto"/>
                <w:szCs w:val="16"/>
              </w:rPr>
              <w:t>-1</w:t>
            </w:r>
            <w:r w:rsidR="007A7EBA">
              <w:rPr>
                <w:b/>
                <w:color w:val="auto"/>
                <w:szCs w:val="16"/>
              </w:rPr>
              <w:t>9</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117,352</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83,869</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201,222</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212,992</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84,408</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297,400</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6,696</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17,004</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23,700</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9,132</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22,150</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31,282</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119</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5,224</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5,343</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1,300</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6,729</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8,029</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6,577</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11,780</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18,357</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7,832</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15,420</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23,253</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19,739</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37,719</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57,459</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50,054</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25,735</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75,789</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 xml:space="preserve"> i Deposit money institutions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13,688</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13,751</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27,439</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22,144</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6,697</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28,842</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5,626</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4,100</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9,726</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22,759</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3,095</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25,854</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425</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19,869</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20,294</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5,151</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15,943</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21,093</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90,917</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29,146</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120,063</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153,806</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36,523</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190,328</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33,152</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369,148</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402,300</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35,382</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279,106</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314,488</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10,299</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349,950</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360,249</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11,427</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258,479</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269,906</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1,426</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212,033</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213,459</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1,794</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162,681</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164,475</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8,873</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137,917</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146,790</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9,633</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95,798</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105,431</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21,954</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19,098</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41,052</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23,012</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20,371</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43,383</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i Deposit money institutions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13,643</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1,816</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15,459</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14,834</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2,281</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17,115</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1,351</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6,820</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8,171</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1,351</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7,839</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9,190</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4,639</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9,696</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14,335</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4,633</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9,850</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14,483</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1,818</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1,820</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1,802</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1,804</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503</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764</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1,267</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391</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400</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sz w:val="14"/>
                <w:szCs w:val="14"/>
              </w:rPr>
            </w:pPr>
            <w:r>
              <w:rPr>
                <w:sz w:val="14"/>
                <w:szCs w:val="14"/>
              </w:rPr>
              <w:t>791</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w:t>
            </w:r>
          </w:p>
        </w:tc>
      </w:tr>
      <w:tr w:rsidR="00C1781B"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C1781B" w:rsidRPr="00D5469A" w:rsidRDefault="00C1781B" w:rsidP="00C1781B">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900</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100</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1,000</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943</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256</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C1781B" w:rsidRDefault="00C1781B" w:rsidP="00C1781B">
            <w:pPr>
              <w:jc w:val="right"/>
              <w:rPr>
                <w:b/>
                <w:bCs/>
                <w:sz w:val="14"/>
                <w:szCs w:val="14"/>
              </w:rPr>
            </w:pPr>
            <w:r>
              <w:rPr>
                <w:b/>
                <w:bCs/>
                <w:sz w:val="14"/>
                <w:szCs w:val="14"/>
              </w:rPr>
              <w:t>1,200</w:t>
            </w:r>
          </w:p>
        </w:tc>
      </w:tr>
      <w:tr w:rsidR="00C1781B"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C1781B" w:rsidRPr="00D5469A" w:rsidRDefault="00C1781B" w:rsidP="00C1781B">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C1781B" w:rsidRDefault="00C1781B" w:rsidP="00C1781B">
            <w:pPr>
              <w:jc w:val="right"/>
              <w:rPr>
                <w:b/>
                <w:bCs/>
                <w:sz w:val="14"/>
                <w:szCs w:val="14"/>
              </w:rPr>
            </w:pPr>
            <w:r>
              <w:rPr>
                <w:b/>
                <w:bCs/>
                <w:sz w:val="14"/>
                <w:szCs w:val="14"/>
              </w:rPr>
              <w:t>150,505</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C1781B" w:rsidRDefault="00C1781B" w:rsidP="00C1781B">
            <w:pPr>
              <w:jc w:val="right"/>
              <w:rPr>
                <w:b/>
                <w:bCs/>
                <w:sz w:val="14"/>
                <w:szCs w:val="14"/>
              </w:rPr>
            </w:pPr>
            <w:r>
              <w:rPr>
                <w:b/>
                <w:bCs/>
                <w:sz w:val="14"/>
                <w:szCs w:val="14"/>
              </w:rPr>
              <w:t>453,017</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C1781B" w:rsidRDefault="00C1781B" w:rsidP="00C1781B">
            <w:pPr>
              <w:jc w:val="right"/>
              <w:rPr>
                <w:b/>
                <w:bCs/>
                <w:sz w:val="14"/>
                <w:szCs w:val="14"/>
              </w:rPr>
            </w:pPr>
            <w:r>
              <w:rPr>
                <w:b/>
                <w:bCs/>
                <w:sz w:val="14"/>
                <w:szCs w:val="14"/>
              </w:rPr>
              <w:t>603,522</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C1781B" w:rsidRDefault="00C1781B" w:rsidP="00C1781B">
            <w:pPr>
              <w:jc w:val="right"/>
              <w:rPr>
                <w:b/>
                <w:bCs/>
                <w:sz w:val="14"/>
                <w:szCs w:val="14"/>
              </w:rPr>
            </w:pPr>
            <w:r>
              <w:rPr>
                <w:b/>
                <w:bCs/>
                <w:sz w:val="14"/>
                <w:szCs w:val="14"/>
              </w:rPr>
              <w:t>248,374</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C1781B" w:rsidRDefault="00C1781B" w:rsidP="00C1781B">
            <w:pPr>
              <w:jc w:val="right"/>
              <w:rPr>
                <w:b/>
                <w:bCs/>
                <w:sz w:val="14"/>
                <w:szCs w:val="14"/>
              </w:rPr>
            </w:pPr>
            <w:r>
              <w:rPr>
                <w:b/>
                <w:bCs/>
                <w:sz w:val="14"/>
                <w:szCs w:val="14"/>
              </w:rPr>
              <w:t>363,514</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C1781B" w:rsidRDefault="00C1781B" w:rsidP="00C1781B">
            <w:pPr>
              <w:jc w:val="right"/>
              <w:rPr>
                <w:b/>
                <w:bCs/>
                <w:sz w:val="14"/>
                <w:szCs w:val="14"/>
              </w:rPr>
            </w:pPr>
            <w:r>
              <w:rPr>
                <w:b/>
                <w:bCs/>
                <w:sz w:val="14"/>
                <w:szCs w:val="14"/>
              </w:rPr>
              <w:t>611,888</w:t>
            </w:r>
          </w:p>
        </w:tc>
      </w:tr>
      <w:tr w:rsidR="00C1781B" w:rsidRPr="00D5469A" w:rsidTr="007828BE">
        <w:trPr>
          <w:trHeight w:hRule="exact" w:val="247"/>
        </w:trPr>
        <w:tc>
          <w:tcPr>
            <w:tcW w:w="10008" w:type="dxa"/>
            <w:gridSpan w:val="7"/>
            <w:tcBorders>
              <w:top w:val="single" w:sz="12" w:space="0" w:color="auto"/>
            </w:tcBorders>
            <w:shd w:val="clear" w:color="auto" w:fill="auto"/>
            <w:noWrap/>
            <w:vAlign w:val="center"/>
          </w:tcPr>
          <w:p w:rsidR="00C1781B" w:rsidRPr="00D5469A" w:rsidRDefault="00C1781B" w:rsidP="00C1781B">
            <w:pPr>
              <w:jc w:val="right"/>
              <w:rPr>
                <w:color w:val="auto"/>
                <w:sz w:val="12"/>
                <w:szCs w:val="16"/>
              </w:rPr>
            </w:pPr>
            <w:r>
              <w:rPr>
                <w:sz w:val="14"/>
                <w:szCs w:val="14"/>
              </w:rPr>
              <w:t>Source: Statistics &amp; Data Warehouse Department SBP</w:t>
            </w:r>
          </w:p>
        </w:tc>
      </w:tr>
      <w:tr w:rsidR="00C1781B" w:rsidRPr="00D5469A" w:rsidTr="007828BE">
        <w:trPr>
          <w:trHeight w:hRule="exact" w:val="235"/>
        </w:trPr>
        <w:tc>
          <w:tcPr>
            <w:tcW w:w="10008" w:type="dxa"/>
            <w:gridSpan w:val="7"/>
            <w:shd w:val="clear" w:color="auto" w:fill="auto"/>
            <w:noWrap/>
            <w:vAlign w:val="center"/>
          </w:tcPr>
          <w:p w:rsidR="00C1781B" w:rsidRPr="00D5469A" w:rsidRDefault="00C1781B" w:rsidP="00C1781B">
            <w:pPr>
              <w:jc w:val="left"/>
              <w:rPr>
                <w:color w:val="auto"/>
                <w:sz w:val="12"/>
                <w:szCs w:val="16"/>
              </w:rPr>
            </w:pPr>
            <w:r w:rsidRPr="00D5469A">
              <w:rPr>
                <w:color w:val="auto"/>
                <w:sz w:val="12"/>
                <w:szCs w:val="16"/>
              </w:rPr>
              <w:t>* This includes Depository NBFCs, DFIs and MFIs.</w:t>
            </w:r>
          </w:p>
        </w:tc>
      </w:tr>
      <w:tr w:rsidR="00C1781B" w:rsidRPr="00D5469A" w:rsidTr="007828BE">
        <w:trPr>
          <w:trHeight w:hRule="exact" w:val="235"/>
        </w:trPr>
        <w:tc>
          <w:tcPr>
            <w:tcW w:w="10008" w:type="dxa"/>
            <w:gridSpan w:val="7"/>
            <w:shd w:val="clear" w:color="auto" w:fill="auto"/>
            <w:noWrap/>
            <w:vAlign w:val="center"/>
          </w:tcPr>
          <w:p w:rsidR="00C1781B" w:rsidRPr="00D5469A" w:rsidRDefault="00C1781B" w:rsidP="00C1781B">
            <w:pPr>
              <w:jc w:val="left"/>
              <w:rPr>
                <w:color w:val="auto"/>
                <w:sz w:val="12"/>
                <w:szCs w:val="16"/>
              </w:rPr>
            </w:pPr>
            <w:r w:rsidRPr="002C409E">
              <w:rPr>
                <w:color w:val="auto"/>
                <w:sz w:val="12"/>
                <w:szCs w:val="16"/>
              </w:rPr>
              <w:t>** This includes Non Depository NBFCs, PMRCL and HBFC.</w:t>
            </w:r>
          </w:p>
        </w:tc>
      </w:tr>
    </w:tbl>
    <w:p w:rsidR="00B433FE" w:rsidRPr="0004205B" w:rsidRDefault="00B433FE" w:rsidP="00C156D0">
      <w:pPr>
        <w:rPr>
          <w:color w:val="auto"/>
        </w:rPr>
      </w:pPr>
    </w:p>
    <w:sectPr w:rsidR="00B433FE" w:rsidRPr="0004205B" w:rsidSect="00261F80">
      <w:footerReference w:type="even" r:id="rId18"/>
      <w:footerReference w:type="default" r:id="rId19"/>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736" w:rsidRDefault="00F01736">
      <w:r>
        <w:separator/>
      </w:r>
    </w:p>
  </w:endnote>
  <w:endnote w:type="continuationSeparator" w:id="0">
    <w:p w:rsidR="00F01736" w:rsidRDefault="00F0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736" w:rsidRDefault="00F017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F01736" w:rsidRDefault="00F0173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736" w:rsidRPr="008961D3" w:rsidRDefault="00F01736"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6B7883">
      <w:rPr>
        <w:noProof/>
        <w:sz w:val="20"/>
      </w:rPr>
      <w:t>18</w:t>
    </w:r>
    <w:r w:rsidRPr="008961D3">
      <w:rPr>
        <w:sz w:val="20"/>
      </w:rPr>
      <w:fldChar w:fldCharType="end"/>
    </w:r>
  </w:p>
  <w:p w:rsidR="00F01736" w:rsidRPr="008961D3" w:rsidRDefault="00F01736">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736" w:rsidRDefault="00F01736">
      <w:r>
        <w:separator/>
      </w:r>
    </w:p>
  </w:footnote>
  <w:footnote w:type="continuationSeparator" w:id="0">
    <w:p w:rsidR="00F01736" w:rsidRDefault="00F01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2"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3"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3"/>
  </w:num>
  <w:num w:numId="6">
    <w:abstractNumId w:val="12"/>
  </w:num>
  <w:num w:numId="7">
    <w:abstractNumId w:val="8"/>
  </w:num>
  <w:num w:numId="8">
    <w:abstractNumId w:val="10"/>
  </w:num>
  <w:num w:numId="9">
    <w:abstractNumId w:val="5"/>
  </w:num>
  <w:num w:numId="10">
    <w:abstractNumId w:val="1"/>
  </w:num>
  <w:num w:numId="11">
    <w:abstractNumId w:val="7"/>
  </w:num>
  <w:num w:numId="12">
    <w:abstractNumId w:val="4"/>
  </w:num>
  <w:num w:numId="13">
    <w:abstractNumId w:val="11"/>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77"/>
    <w:rsid w:val="00000778"/>
    <w:rsid w:val="00000AAD"/>
    <w:rsid w:val="00000BFB"/>
    <w:rsid w:val="00000DB0"/>
    <w:rsid w:val="00000DEC"/>
    <w:rsid w:val="00000F18"/>
    <w:rsid w:val="0000107A"/>
    <w:rsid w:val="000010D1"/>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997"/>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481"/>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988"/>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B77"/>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05E5"/>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666"/>
    <w:rsid w:val="00322964"/>
    <w:rsid w:val="00322BCF"/>
    <w:rsid w:val="003235F0"/>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2C95"/>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253"/>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17D1"/>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67"/>
    <w:rsid w:val="008115A1"/>
    <w:rsid w:val="0081210C"/>
    <w:rsid w:val="00812164"/>
    <w:rsid w:val="00812494"/>
    <w:rsid w:val="008125E1"/>
    <w:rsid w:val="00812BC4"/>
    <w:rsid w:val="00812CDD"/>
    <w:rsid w:val="008131C3"/>
    <w:rsid w:val="0081329F"/>
    <w:rsid w:val="0081353D"/>
    <w:rsid w:val="0081371A"/>
    <w:rsid w:val="00813AB7"/>
    <w:rsid w:val="00813BE1"/>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6DF6"/>
    <w:rsid w:val="008D71F4"/>
    <w:rsid w:val="008D7277"/>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865"/>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78"/>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B5"/>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EEB"/>
    <w:rsid w:val="00C6679F"/>
    <w:rsid w:val="00C66909"/>
    <w:rsid w:val="00C66C05"/>
    <w:rsid w:val="00C66C94"/>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5E76"/>
    <w:rsid w:val="00C97116"/>
    <w:rsid w:val="00C97461"/>
    <w:rsid w:val="00C975BE"/>
    <w:rsid w:val="00C9785B"/>
    <w:rsid w:val="00C97EDB"/>
    <w:rsid w:val="00CA01E2"/>
    <w:rsid w:val="00CA022D"/>
    <w:rsid w:val="00CA0AD2"/>
    <w:rsid w:val="00CA0CD8"/>
    <w:rsid w:val="00CA12E0"/>
    <w:rsid w:val="00CA12E5"/>
    <w:rsid w:val="00CA1BBB"/>
    <w:rsid w:val="00CA2CB5"/>
    <w:rsid w:val="00CA2D05"/>
    <w:rsid w:val="00CA3093"/>
    <w:rsid w:val="00CA3F20"/>
    <w:rsid w:val="00CA4421"/>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E27"/>
    <w:rsid w:val="00D74015"/>
    <w:rsid w:val="00D74084"/>
    <w:rsid w:val="00D741E3"/>
    <w:rsid w:val="00D7445D"/>
    <w:rsid w:val="00D749B1"/>
    <w:rsid w:val="00D74A7B"/>
    <w:rsid w:val="00D74EF3"/>
    <w:rsid w:val="00D75194"/>
    <w:rsid w:val="00D75E4E"/>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C38"/>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4E"/>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3E40"/>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6AED2"/>
  <w15:docId w15:val="{49ECDC45-3DCB-4183-B6E9-64C893B5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bp.org.pk/departments/stats/ntb.htm" TargetMode="External"/><Relationship Id="rId17" Type="http://schemas.openxmlformats.org/officeDocument/2006/relationships/hyperlink" Target="http://www.sbp.org.pk/ecodata/RSMS.pdf" TargetMode="External"/><Relationship Id="rId2" Type="http://schemas.openxmlformats.org/officeDocument/2006/relationships/numbering" Target="numbering.xml"/><Relationship Id="rId16" Type="http://schemas.openxmlformats.org/officeDocument/2006/relationships/hyperlink" Target="http://www.sbp.org.pk/ecodata.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AnaAccDepArch.xls" TargetMode="External"/><Relationship Id="rId5" Type="http://schemas.openxmlformats.org/officeDocument/2006/relationships/webSettings" Target="webSettings.xml"/><Relationship Id="rId15" Type="http://schemas.openxmlformats.org/officeDocument/2006/relationships/hyperlink" Target="http://www.sbp.org.pk/ecodata/DepositoryArch.xls" TargetMode="External"/><Relationship Id="rId10" Type="http://schemas.openxmlformats.org/officeDocument/2006/relationships/hyperlink" Target="http://www.sbp.org.pk/ecodata/Revision_Monetary_Stats.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evision_Monetary_Sta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82A16-D393-4692-9712-388D1746A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2259</TotalTime>
  <Pages>14</Pages>
  <Words>8569</Words>
  <Characters>48848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57303</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Sajjad Kiani - Statistics &amp; DWH</cp:lastModifiedBy>
  <cp:revision>375</cp:revision>
  <cp:lastPrinted>2019-10-04T05:17:00Z</cp:lastPrinted>
  <dcterms:created xsi:type="dcterms:W3CDTF">2017-08-23T10:08:00Z</dcterms:created>
  <dcterms:modified xsi:type="dcterms:W3CDTF">2019-10-04T10:29:00Z</dcterms:modified>
</cp:coreProperties>
</file>