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8809B3">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3578"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E3300E" w:rsidRPr="00B631EC" w:rsidTr="006955D6">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E3300E" w:rsidRPr="00B631EC" w:rsidRDefault="00E3300E" w:rsidP="00E3300E">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E3300E" w:rsidRPr="00AA1067" w:rsidRDefault="00E3300E" w:rsidP="00E3300E">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E3300E" w:rsidRPr="00AA1067" w:rsidRDefault="00E3300E" w:rsidP="00E3300E">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E3300E" w:rsidRPr="00B8262F" w:rsidRDefault="00E3300E" w:rsidP="00E3300E">
            <w:pPr>
              <w:jc w:val="right"/>
              <w:rPr>
                <w:b/>
                <w:bCs/>
                <w:sz w:val="14"/>
                <w:szCs w:val="14"/>
              </w:rPr>
            </w:pPr>
            <w:r>
              <w:rPr>
                <w:b/>
                <w:bCs/>
                <w:sz w:val="14"/>
                <w:szCs w:val="14"/>
              </w:rPr>
              <w:t>Sep</w:t>
            </w:r>
          </w:p>
        </w:tc>
        <w:tc>
          <w:tcPr>
            <w:tcW w:w="720" w:type="dxa"/>
            <w:tcBorders>
              <w:bottom w:val="single" w:sz="12" w:space="0" w:color="auto"/>
              <w:right w:val="single" w:sz="4" w:space="0" w:color="auto"/>
            </w:tcBorders>
            <w:shd w:val="clear" w:color="auto" w:fill="auto"/>
            <w:vAlign w:val="center"/>
          </w:tcPr>
          <w:p w:rsidR="00E3300E" w:rsidRPr="00B8262F" w:rsidRDefault="00E3300E" w:rsidP="00E3300E">
            <w:pPr>
              <w:jc w:val="right"/>
              <w:rPr>
                <w:b/>
                <w:bCs/>
                <w:sz w:val="14"/>
                <w:szCs w:val="14"/>
              </w:rPr>
            </w:pPr>
            <w:r>
              <w:rPr>
                <w:b/>
                <w:bCs/>
                <w:sz w:val="14"/>
                <w:szCs w:val="14"/>
              </w:rPr>
              <w:t>Oct</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3300E" w:rsidRPr="00B8262F" w:rsidRDefault="00E3300E" w:rsidP="00E3300E">
            <w:pPr>
              <w:jc w:val="right"/>
              <w:rPr>
                <w:b/>
                <w:bCs/>
                <w:sz w:val="14"/>
                <w:szCs w:val="14"/>
              </w:rPr>
            </w:pPr>
            <w:r>
              <w:rPr>
                <w:b/>
                <w:bCs/>
                <w:sz w:val="14"/>
                <w:szCs w:val="14"/>
              </w:rPr>
              <w:t>Jun</w:t>
            </w:r>
          </w:p>
        </w:tc>
        <w:tc>
          <w:tcPr>
            <w:tcW w:w="720" w:type="dxa"/>
            <w:tcBorders>
              <w:top w:val="nil"/>
              <w:bottom w:val="single" w:sz="12" w:space="0" w:color="auto"/>
            </w:tcBorders>
            <w:shd w:val="clear" w:color="auto" w:fill="auto"/>
            <w:noWrap/>
            <w:tcMar>
              <w:left w:w="43" w:type="dxa"/>
              <w:right w:w="43" w:type="dxa"/>
            </w:tcMar>
            <w:vAlign w:val="center"/>
          </w:tcPr>
          <w:p w:rsidR="00E3300E" w:rsidRPr="00B8262F" w:rsidRDefault="00E3300E" w:rsidP="00E3300E">
            <w:pPr>
              <w:jc w:val="right"/>
              <w:rPr>
                <w:b/>
                <w:bCs/>
                <w:sz w:val="14"/>
                <w:szCs w:val="14"/>
              </w:rPr>
            </w:pPr>
            <w:r>
              <w:rPr>
                <w:b/>
                <w:bCs/>
                <w:sz w:val="14"/>
                <w:szCs w:val="14"/>
              </w:rPr>
              <w:t>Jul</w:t>
            </w:r>
          </w:p>
        </w:tc>
        <w:tc>
          <w:tcPr>
            <w:tcW w:w="720" w:type="dxa"/>
            <w:tcBorders>
              <w:top w:val="nil"/>
              <w:bottom w:val="single" w:sz="12" w:space="0" w:color="auto"/>
            </w:tcBorders>
            <w:shd w:val="clear" w:color="auto" w:fill="auto"/>
            <w:noWrap/>
            <w:tcMar>
              <w:left w:w="43" w:type="dxa"/>
              <w:right w:w="43" w:type="dxa"/>
            </w:tcMar>
            <w:vAlign w:val="center"/>
          </w:tcPr>
          <w:p w:rsidR="00E3300E" w:rsidRPr="00B8262F" w:rsidRDefault="00E3300E" w:rsidP="00E3300E">
            <w:pPr>
              <w:jc w:val="right"/>
              <w:rPr>
                <w:b/>
                <w:bCs/>
                <w:sz w:val="14"/>
                <w:szCs w:val="14"/>
              </w:rPr>
            </w:pPr>
            <w:r>
              <w:rPr>
                <w:b/>
                <w:bCs/>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E3300E" w:rsidRPr="00B8262F" w:rsidRDefault="00E3300E" w:rsidP="00E3300E">
            <w:pPr>
              <w:jc w:val="right"/>
              <w:rPr>
                <w:b/>
                <w:bCs/>
                <w:sz w:val="14"/>
                <w:szCs w:val="14"/>
              </w:rPr>
            </w:pPr>
            <w:r>
              <w:rPr>
                <w:b/>
                <w:bCs/>
                <w:sz w:val="14"/>
                <w:szCs w:val="14"/>
              </w:rPr>
              <w:t>Sep</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E3300E" w:rsidRPr="00B8262F" w:rsidRDefault="00E3300E" w:rsidP="00E3300E">
            <w:pPr>
              <w:jc w:val="right"/>
              <w:rPr>
                <w:b/>
                <w:bCs/>
                <w:sz w:val="14"/>
                <w:szCs w:val="14"/>
              </w:rPr>
            </w:pPr>
            <w:r>
              <w:rPr>
                <w:b/>
                <w:bCs/>
                <w:sz w:val="14"/>
                <w:szCs w:val="14"/>
              </w:rPr>
              <w:t>Oct</w:t>
            </w:r>
          </w:p>
        </w:tc>
      </w:tr>
      <w:tr w:rsidR="00E3300E" w:rsidRPr="00B631EC" w:rsidTr="006955D6">
        <w:trPr>
          <w:trHeight w:val="216"/>
          <w:jc w:val="center"/>
        </w:trPr>
        <w:tc>
          <w:tcPr>
            <w:tcW w:w="2949" w:type="dxa"/>
            <w:tcBorders>
              <w:top w:val="nil"/>
              <w:left w:val="nil"/>
              <w:bottom w:val="nil"/>
              <w:right w:val="nil"/>
            </w:tcBorders>
            <w:shd w:val="clear" w:color="auto" w:fill="auto"/>
            <w:noWrap/>
            <w:vAlign w:val="center"/>
            <w:hideMark/>
          </w:tcPr>
          <w:p w:rsidR="00E3300E" w:rsidRPr="00B631EC" w:rsidRDefault="00E3300E" w:rsidP="00E3300E">
            <w:pPr>
              <w:rPr>
                <w:b/>
                <w:bCs/>
                <w:sz w:val="15"/>
                <w:szCs w:val="15"/>
              </w:rPr>
            </w:pPr>
          </w:p>
        </w:tc>
        <w:tc>
          <w:tcPr>
            <w:tcW w:w="778" w:type="dxa"/>
            <w:tcBorders>
              <w:top w:val="nil"/>
              <w:left w:val="nil"/>
              <w:bottom w:val="nil"/>
              <w:right w:val="nil"/>
            </w:tcBorders>
            <w:shd w:val="clear" w:color="auto" w:fill="auto"/>
            <w:noWrap/>
            <w:vAlign w:val="center"/>
            <w:hideMark/>
          </w:tcPr>
          <w:p w:rsidR="00E3300E" w:rsidRPr="00B8572A" w:rsidRDefault="00E3300E" w:rsidP="00E3300E">
            <w:pPr>
              <w:jc w:val="center"/>
              <w:rPr>
                <w:b/>
                <w:bCs/>
                <w:sz w:val="15"/>
                <w:szCs w:val="15"/>
              </w:rPr>
            </w:pPr>
          </w:p>
        </w:tc>
        <w:tc>
          <w:tcPr>
            <w:tcW w:w="718" w:type="dxa"/>
            <w:tcBorders>
              <w:top w:val="nil"/>
              <w:left w:val="nil"/>
              <w:bottom w:val="nil"/>
              <w:right w:val="nil"/>
            </w:tcBorders>
            <w:shd w:val="clear" w:color="auto" w:fill="auto"/>
            <w:noWrap/>
            <w:vAlign w:val="center"/>
          </w:tcPr>
          <w:p w:rsidR="00E3300E" w:rsidRPr="00B8572A" w:rsidRDefault="00E3300E" w:rsidP="00E3300E">
            <w:pPr>
              <w:jc w:val="center"/>
              <w:rPr>
                <w:b/>
                <w:bCs/>
                <w:sz w:val="15"/>
                <w:szCs w:val="15"/>
              </w:rPr>
            </w:pPr>
          </w:p>
        </w:tc>
        <w:tc>
          <w:tcPr>
            <w:tcW w:w="753" w:type="dxa"/>
            <w:tcBorders>
              <w:top w:val="nil"/>
              <w:left w:val="nil"/>
              <w:bottom w:val="nil"/>
              <w:right w:val="nil"/>
            </w:tcBorders>
            <w:shd w:val="clear" w:color="auto" w:fill="auto"/>
            <w:noWrap/>
            <w:vAlign w:val="center"/>
            <w:hideMark/>
          </w:tcPr>
          <w:p w:rsidR="00E3300E" w:rsidRPr="00B8572A" w:rsidRDefault="00E3300E" w:rsidP="00E3300E">
            <w:pPr>
              <w:jc w:val="center"/>
              <w:rPr>
                <w:b/>
                <w:bCs/>
                <w:sz w:val="15"/>
                <w:szCs w:val="15"/>
              </w:rPr>
            </w:pPr>
          </w:p>
        </w:tc>
        <w:tc>
          <w:tcPr>
            <w:tcW w:w="720" w:type="dxa"/>
            <w:tcBorders>
              <w:top w:val="nil"/>
              <w:left w:val="nil"/>
              <w:bottom w:val="nil"/>
              <w:right w:val="nil"/>
            </w:tcBorders>
            <w:tcMar>
              <w:left w:w="43" w:type="dxa"/>
              <w:right w:w="43" w:type="dxa"/>
            </w:tcMar>
            <w:vAlign w:val="center"/>
          </w:tcPr>
          <w:p w:rsidR="00E3300E" w:rsidRPr="00B8572A" w:rsidRDefault="00E3300E" w:rsidP="00E3300E">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E3300E" w:rsidRPr="00B8572A" w:rsidRDefault="00E3300E" w:rsidP="00E3300E">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E3300E" w:rsidRPr="00B8572A" w:rsidRDefault="00E3300E" w:rsidP="00E3300E">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E3300E" w:rsidRPr="00B8572A" w:rsidRDefault="00E3300E" w:rsidP="00E3300E">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E3300E" w:rsidRPr="00B8572A" w:rsidRDefault="00E3300E" w:rsidP="00E3300E">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E3300E" w:rsidRPr="00B8572A" w:rsidRDefault="00E3300E" w:rsidP="00E3300E">
            <w:pPr>
              <w:jc w:val="center"/>
              <w:rPr>
                <w:b/>
                <w:bCs/>
                <w:sz w:val="15"/>
                <w:szCs w:val="15"/>
              </w:rPr>
            </w:pPr>
          </w:p>
        </w:tc>
      </w:tr>
      <w:tr w:rsidR="00E3300E" w:rsidRPr="00B631EC"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b/>
                <w:bCs/>
                <w:color w:val="000000"/>
                <w:sz w:val="14"/>
                <w:szCs w:val="14"/>
              </w:rPr>
            </w:pPr>
            <w:r>
              <w:rPr>
                <w:b/>
                <w:bCs/>
                <w:color w:val="000000"/>
                <w:sz w:val="14"/>
                <w:szCs w:val="14"/>
              </w:rPr>
              <w:t>40,998.6</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41,649.4</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b/>
                <w:bCs/>
                <w:color w:val="000000"/>
                <w:sz w:val="14"/>
                <w:szCs w:val="14"/>
              </w:rPr>
            </w:pPr>
            <w:r>
              <w:rPr>
                <w:b/>
                <w:bCs/>
                <w:color w:val="000000"/>
                <w:sz w:val="14"/>
                <w:szCs w:val="14"/>
              </w:rPr>
              <w:t>33,901.6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31,938.5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29,672.1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32,078.9</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34,203.7</w:t>
            </w:r>
          </w:p>
        </w:tc>
      </w:tr>
      <w:tr w:rsidR="00E3300E" w:rsidRPr="00B631EC"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b/>
                <w:bCs/>
                <w:color w:val="000000"/>
                <w:sz w:val="14"/>
                <w:szCs w:val="14"/>
              </w:rPr>
            </w:pPr>
            <w:r>
              <w:rPr>
                <w:b/>
                <w:bCs/>
                <w:color w:val="000000"/>
                <w:sz w:val="14"/>
                <w:szCs w:val="14"/>
              </w:rPr>
              <w:t>29,944.5</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30,220.1</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b/>
                <w:bCs/>
                <w:color w:val="000000"/>
                <w:sz w:val="14"/>
                <w:szCs w:val="14"/>
              </w:rPr>
            </w:pPr>
            <w:r>
              <w:rPr>
                <w:b/>
                <w:bCs/>
                <w:color w:val="000000"/>
                <w:sz w:val="14"/>
                <w:szCs w:val="14"/>
              </w:rPr>
              <w:t>24,986.1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23,118.8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22,007.1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23,427.6</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b/>
                <w:bCs/>
                <w:color w:val="000000"/>
                <w:sz w:val="14"/>
                <w:szCs w:val="14"/>
              </w:rPr>
            </w:pPr>
            <w:r>
              <w:rPr>
                <w:b/>
                <w:bCs/>
                <w:color w:val="000000"/>
                <w:sz w:val="14"/>
                <w:szCs w:val="14"/>
              </w:rPr>
              <w:t>24,698.8</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62,058.1</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56,867.9</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43,939.5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39,803.4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36,762.2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36,163.4</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35,518.2</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46,218.2</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41,622.0</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31,124.8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25,988.7</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23,487.4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22,373.7</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22,076.5</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24,785.5</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24,003.0</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16,549.5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14,061.9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13,039.0</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14,438.1</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15,793.9</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43,448.5</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44,094.6</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29,456.1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26,516.6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26,034.7</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25,184.7</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27,262.7</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28,949.5</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28,007.7</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23,819.4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22,698.5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20,416.5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22,344.5</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23,099.9</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4,468.7</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4,775.7</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3,513.8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2,793.0</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2,625.4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2,563.5</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2,898.0</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13,421.2</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13,369.4</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11,651.6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11,190.9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10,459.6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10,766.9</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11,251.7</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44,144.3</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42,746.5</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19,890.0</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16,378.2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17,895.6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19,218.3</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22,389.6</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18,980.2</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19,792.1</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14,342.6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14,165.5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13,927.2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14,464.5</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15,206.2</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56,647.9</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56,240.4</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41,064.8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36,035.5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37,788.8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36,761.8</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41,146.4</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62,241.2</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58,779.2</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49,859.9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43,317.3</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44,539.5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46,545.3</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46,790.3</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30,193.2</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28,964.1</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20,151.4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18,357.9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17,434.8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19,863.8</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20,046.2</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6,247.4</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6,314.1</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12,173.5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11,921.1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12,000.9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12,627.6</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14,133.3</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12,824.5</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1,339.1</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985.0</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797.7</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719.9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826.6</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713.7</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14,615.2</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14,104.1</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10,635.1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9,861.4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9,841.2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10,244.2</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13,876.1</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19,530.6</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19,226.9</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16,082.3</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15,287.9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15,300.0</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16,323.2</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15,877.7</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7,127.4</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6,373.0</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5,386.3</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5,503.1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5,073.0</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5,254.3</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4,673.3</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16,326.1</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15,900.1</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12,479.3</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11,879.8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9,823.2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11,638.6</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11,690.9</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18,494.8</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17,892.6</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10,574.1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9,323.9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7,784.6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9,168.1</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9,552.8</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17,979.1</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16,375.1</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11,933.7</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10,230.7</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10,919.6</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11,146.2</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40,310.2</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37,695.5</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25,054.5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21,952.5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21,105.6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23,416.8</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27,054.2</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31,385.2</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34,127.5</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26,224.2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22,462.3</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20,583.2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22,685.1</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22,824.6</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14,135.1</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14,978.1</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7,263.8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5,929.5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5,840.7</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6,389.7</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7,823.7</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117,610.7</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117,926.0</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85,333.2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82,606.4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79,080.4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83,910.9</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91,079.2</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24,584.7</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25,527.3</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24,266.5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25,386.5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29,149.4</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29,241.9</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27,939.4</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27,175.5</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27,699.7</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18,894.9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16,044.8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14,798.9</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15,796.5</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16,899.5</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32,399.7</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36,575.6</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39,011.3</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36,418.2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36,619.2</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37,563.9</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35,448.9</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18,262.7</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18,213.8</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15,961.6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15,237.8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14,563.8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14,843.2</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14,787.1</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27,706.6</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2,835.6</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2,413.3</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2,356.8</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2,468.7</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2,327.4</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205,884.8</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198,461.7</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204,112.1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182,387.0</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196,265.1</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193,796.4</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179,959.3</w:t>
            </w:r>
          </w:p>
        </w:tc>
      </w:tr>
      <w:tr w:rsidR="00E3300E" w:rsidRPr="001A22C1" w:rsidTr="00E3300E">
        <w:trPr>
          <w:trHeight w:val="288"/>
          <w:jc w:val="center"/>
        </w:trPr>
        <w:tc>
          <w:tcPr>
            <w:tcW w:w="2949" w:type="dxa"/>
            <w:tcBorders>
              <w:top w:val="nil"/>
              <w:left w:val="nil"/>
              <w:bottom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56,234.8</w:t>
            </w:r>
          </w:p>
        </w:tc>
        <w:tc>
          <w:tcPr>
            <w:tcW w:w="720" w:type="dxa"/>
            <w:tcBorders>
              <w:top w:val="nil"/>
              <w:left w:val="nil"/>
              <w:bottom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54,717.5</w:t>
            </w:r>
          </w:p>
        </w:tc>
        <w:tc>
          <w:tcPr>
            <w:tcW w:w="702" w:type="dxa"/>
            <w:tcBorders>
              <w:top w:val="nil"/>
              <w:left w:val="nil"/>
              <w:bottom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39,881.6</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39,680.3</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37,903.5</w:t>
            </w:r>
          </w:p>
        </w:tc>
        <w:tc>
          <w:tcPr>
            <w:tcW w:w="720"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38,834.5</w:t>
            </w:r>
          </w:p>
        </w:tc>
        <w:tc>
          <w:tcPr>
            <w:tcW w:w="716" w:type="dxa"/>
            <w:tcBorders>
              <w:top w:val="nil"/>
              <w:left w:val="nil"/>
              <w:bottom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48,635.6</w:t>
            </w:r>
          </w:p>
        </w:tc>
      </w:tr>
      <w:tr w:rsidR="00E3300E" w:rsidRPr="001A22C1" w:rsidTr="00E3300E">
        <w:trPr>
          <w:trHeight w:val="288"/>
          <w:jc w:val="center"/>
        </w:trPr>
        <w:tc>
          <w:tcPr>
            <w:tcW w:w="2949" w:type="dxa"/>
            <w:tcBorders>
              <w:top w:val="nil"/>
              <w:left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541,685.2</w:t>
            </w:r>
          </w:p>
        </w:tc>
        <w:tc>
          <w:tcPr>
            <w:tcW w:w="720" w:type="dxa"/>
            <w:tcBorders>
              <w:top w:val="nil"/>
              <w:left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558,018.6</w:t>
            </w:r>
          </w:p>
        </w:tc>
        <w:tc>
          <w:tcPr>
            <w:tcW w:w="702" w:type="dxa"/>
            <w:tcBorders>
              <w:top w:val="nil"/>
              <w:left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271,819.2</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242,799.8</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215,187.4</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237,537.4</w:t>
            </w:r>
          </w:p>
        </w:tc>
        <w:tc>
          <w:tcPr>
            <w:tcW w:w="716"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264,312.7</w:t>
            </w:r>
          </w:p>
        </w:tc>
      </w:tr>
      <w:tr w:rsidR="00E3300E" w:rsidRPr="001A22C1" w:rsidTr="00E3300E">
        <w:trPr>
          <w:trHeight w:val="288"/>
          <w:jc w:val="center"/>
        </w:trPr>
        <w:tc>
          <w:tcPr>
            <w:tcW w:w="2949" w:type="dxa"/>
            <w:tcBorders>
              <w:top w:val="nil"/>
              <w:left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24,031.4</w:t>
            </w:r>
          </w:p>
        </w:tc>
        <w:tc>
          <w:tcPr>
            <w:tcW w:w="720" w:type="dxa"/>
            <w:tcBorders>
              <w:top w:val="nil"/>
              <w:left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23,786.6</w:t>
            </w:r>
          </w:p>
        </w:tc>
        <w:tc>
          <w:tcPr>
            <w:tcW w:w="702" w:type="dxa"/>
            <w:tcBorders>
              <w:top w:val="nil"/>
              <w:left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22,356.9</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22,064.6</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22,064.6</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21,871.6</w:t>
            </w:r>
          </w:p>
        </w:tc>
        <w:tc>
          <w:tcPr>
            <w:tcW w:w="716"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21,918.4</w:t>
            </w:r>
          </w:p>
        </w:tc>
      </w:tr>
      <w:tr w:rsidR="00E3300E" w:rsidRPr="001A22C1" w:rsidTr="00E3300E">
        <w:trPr>
          <w:trHeight w:val="288"/>
          <w:jc w:val="center"/>
        </w:trPr>
        <w:tc>
          <w:tcPr>
            <w:tcW w:w="2949" w:type="dxa"/>
            <w:tcBorders>
              <w:top w:val="nil"/>
              <w:left w:val="nil"/>
              <w:right w:val="nil"/>
            </w:tcBorders>
            <w:shd w:val="clear" w:color="auto" w:fill="auto"/>
            <w:noWrap/>
            <w:vAlign w:val="center"/>
            <w:hideMark/>
          </w:tcPr>
          <w:p w:rsidR="00E3300E" w:rsidRPr="0024736D" w:rsidRDefault="00E3300E" w:rsidP="00E3300E">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19,548.3</w:t>
            </w:r>
          </w:p>
        </w:tc>
        <w:tc>
          <w:tcPr>
            <w:tcW w:w="720" w:type="dxa"/>
            <w:tcBorders>
              <w:top w:val="nil"/>
              <w:left w:val="nil"/>
              <w:right w:val="nil"/>
            </w:tcBorders>
            <w:tcMar>
              <w:left w:w="43" w:type="dxa"/>
              <w:right w:w="43" w:type="dxa"/>
            </w:tcMar>
            <w:vAlign w:val="center"/>
          </w:tcPr>
          <w:p w:rsidR="00E3300E" w:rsidRDefault="00E3300E" w:rsidP="00E3300E">
            <w:pPr>
              <w:jc w:val="right"/>
              <w:rPr>
                <w:color w:val="000000"/>
                <w:sz w:val="14"/>
                <w:szCs w:val="14"/>
              </w:rPr>
            </w:pPr>
            <w:r>
              <w:rPr>
                <w:color w:val="000000"/>
                <w:sz w:val="14"/>
                <w:szCs w:val="14"/>
              </w:rPr>
              <w:t>18,648.5</w:t>
            </w:r>
          </w:p>
        </w:tc>
        <w:tc>
          <w:tcPr>
            <w:tcW w:w="702" w:type="dxa"/>
            <w:tcBorders>
              <w:top w:val="nil"/>
              <w:left w:val="nil"/>
              <w:right w:val="nil"/>
            </w:tcBorders>
            <w:shd w:val="clear" w:color="auto" w:fill="auto"/>
            <w:tcMar>
              <w:left w:w="43" w:type="dxa"/>
              <w:right w:w="43" w:type="dxa"/>
            </w:tcMar>
            <w:vAlign w:val="center"/>
            <w:hideMark/>
          </w:tcPr>
          <w:p w:rsidR="00E3300E" w:rsidRDefault="00E3300E" w:rsidP="00E3300E">
            <w:pPr>
              <w:jc w:val="right"/>
              <w:rPr>
                <w:color w:val="000000"/>
                <w:sz w:val="14"/>
                <w:szCs w:val="14"/>
              </w:rPr>
            </w:pPr>
            <w:r>
              <w:rPr>
                <w:color w:val="000000"/>
                <w:sz w:val="14"/>
                <w:szCs w:val="14"/>
              </w:rPr>
              <w:t>15,778.3</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15,514.6</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15,204.3</w:t>
            </w:r>
          </w:p>
        </w:tc>
        <w:tc>
          <w:tcPr>
            <w:tcW w:w="720"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15,219.8</w:t>
            </w:r>
          </w:p>
        </w:tc>
        <w:tc>
          <w:tcPr>
            <w:tcW w:w="716" w:type="dxa"/>
            <w:tcBorders>
              <w:top w:val="nil"/>
              <w:left w:val="nil"/>
              <w:right w:val="nil"/>
            </w:tcBorders>
            <w:shd w:val="clear" w:color="auto" w:fill="auto"/>
            <w:tcMar>
              <w:left w:w="43" w:type="dxa"/>
              <w:right w:w="43" w:type="dxa"/>
            </w:tcMar>
            <w:vAlign w:val="center"/>
          </w:tcPr>
          <w:p w:rsidR="00E3300E" w:rsidRDefault="00E3300E" w:rsidP="00E3300E">
            <w:pPr>
              <w:jc w:val="right"/>
              <w:rPr>
                <w:color w:val="000000"/>
                <w:sz w:val="14"/>
                <w:szCs w:val="14"/>
              </w:rPr>
            </w:pPr>
            <w:r>
              <w:rPr>
                <w:color w:val="000000"/>
                <w:sz w:val="14"/>
                <w:szCs w:val="14"/>
              </w:rPr>
              <w:t>17,702.1</w:t>
            </w:r>
          </w:p>
        </w:tc>
      </w:tr>
      <w:tr w:rsidR="00E3300E"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E3300E" w:rsidRPr="0024736D" w:rsidRDefault="00E3300E" w:rsidP="00E3300E">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E3300E" w:rsidRPr="00B631EC" w:rsidTr="00DC04B1">
        <w:trPr>
          <w:trHeight w:hRule="exact" w:val="333"/>
          <w:jc w:val="center"/>
        </w:trPr>
        <w:tc>
          <w:tcPr>
            <w:tcW w:w="9496" w:type="dxa"/>
            <w:gridSpan w:val="10"/>
            <w:tcBorders>
              <w:left w:val="nil"/>
              <w:bottom w:val="nil"/>
              <w:right w:val="nil"/>
            </w:tcBorders>
          </w:tcPr>
          <w:p w:rsidR="00E3300E" w:rsidRPr="0024736D" w:rsidRDefault="00E3300E" w:rsidP="00E3300E">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844250" w:rsidP="00705F48">
      <w:pPr>
        <w:jc w:val="center"/>
      </w:pPr>
      <w:r w:rsidRPr="00844250">
        <w:drawing>
          <wp:inline distT="0" distB="0" distL="0" distR="0">
            <wp:extent cx="5341528" cy="715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411" cy="7155797"/>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818"/>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097161" w:rsidRPr="00B631EC" w:rsidTr="0004509E">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1598"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3865"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E3300E" w:rsidRPr="00B631EC" w:rsidTr="006955D6">
        <w:trPr>
          <w:trHeight w:hRule="exact" w:val="273"/>
          <w:jc w:val="center"/>
        </w:trPr>
        <w:tc>
          <w:tcPr>
            <w:tcW w:w="297" w:type="dxa"/>
            <w:tcBorders>
              <w:left w:val="nil"/>
              <w:bottom w:val="single" w:sz="8" w:space="0" w:color="auto"/>
            </w:tcBorders>
            <w:shd w:val="clear" w:color="auto" w:fill="auto"/>
            <w:vAlign w:val="center"/>
            <w:hideMark/>
          </w:tcPr>
          <w:p w:rsidR="00E3300E" w:rsidRPr="00B631EC" w:rsidRDefault="00E3300E" w:rsidP="00E3300E">
            <w:pPr>
              <w:rPr>
                <w:b/>
                <w:bCs/>
              </w:rPr>
            </w:pPr>
          </w:p>
        </w:tc>
        <w:tc>
          <w:tcPr>
            <w:tcW w:w="2574" w:type="dxa"/>
            <w:tcBorders>
              <w:left w:val="nil"/>
              <w:bottom w:val="single" w:sz="8" w:space="0" w:color="auto"/>
              <w:right w:val="single" w:sz="4" w:space="0" w:color="auto"/>
            </w:tcBorders>
            <w:shd w:val="clear" w:color="auto" w:fill="auto"/>
            <w:vAlign w:val="center"/>
          </w:tcPr>
          <w:p w:rsidR="00E3300E" w:rsidRPr="00B631EC" w:rsidRDefault="00E3300E" w:rsidP="00E3300E">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E3300E" w:rsidRPr="00B8262F" w:rsidRDefault="00E3300E" w:rsidP="00E3300E">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E3300E" w:rsidRPr="00B8262F" w:rsidRDefault="00E3300E" w:rsidP="00E3300E">
            <w:pPr>
              <w:jc w:val="right"/>
              <w:rPr>
                <w:b/>
                <w:sz w:val="16"/>
                <w:szCs w:val="16"/>
              </w:rPr>
            </w:pPr>
            <w:r w:rsidRPr="00B8262F">
              <w:rPr>
                <w:b/>
                <w:sz w:val="16"/>
                <w:szCs w:val="16"/>
              </w:rPr>
              <w:t>Jun-1</w:t>
            </w:r>
            <w:r>
              <w:rPr>
                <w:b/>
                <w:sz w:val="16"/>
                <w:szCs w:val="16"/>
              </w:rPr>
              <w:t>9</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E3300E" w:rsidRPr="00B8262F" w:rsidRDefault="00E3300E" w:rsidP="00E3300E">
            <w:pPr>
              <w:jc w:val="right"/>
              <w:rPr>
                <w:b/>
                <w:bCs/>
                <w:sz w:val="14"/>
                <w:szCs w:val="14"/>
              </w:rPr>
            </w:pPr>
            <w:r>
              <w:rPr>
                <w:b/>
                <w:bCs/>
                <w:sz w:val="14"/>
                <w:szCs w:val="14"/>
              </w:rPr>
              <w:t>Sep</w:t>
            </w:r>
          </w:p>
        </w:tc>
        <w:tc>
          <w:tcPr>
            <w:tcW w:w="818" w:type="dxa"/>
            <w:tcBorders>
              <w:bottom w:val="single" w:sz="8" w:space="0" w:color="auto"/>
              <w:right w:val="single" w:sz="4" w:space="0" w:color="auto"/>
            </w:tcBorders>
            <w:shd w:val="clear" w:color="auto" w:fill="auto"/>
            <w:tcMar>
              <w:left w:w="29" w:type="dxa"/>
              <w:right w:w="29" w:type="dxa"/>
            </w:tcMar>
            <w:vAlign w:val="center"/>
          </w:tcPr>
          <w:p w:rsidR="00E3300E" w:rsidRPr="00B8262F" w:rsidRDefault="00E3300E" w:rsidP="00E3300E">
            <w:pPr>
              <w:jc w:val="right"/>
              <w:rPr>
                <w:b/>
                <w:bCs/>
                <w:sz w:val="14"/>
                <w:szCs w:val="14"/>
              </w:rPr>
            </w:pPr>
            <w:r>
              <w:rPr>
                <w:b/>
                <w:bCs/>
                <w:sz w:val="14"/>
                <w:szCs w:val="14"/>
              </w:rPr>
              <w:t>Oct</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E3300E" w:rsidRPr="00B8262F" w:rsidRDefault="00E3300E" w:rsidP="00E3300E">
            <w:pPr>
              <w:jc w:val="right"/>
              <w:rPr>
                <w:b/>
                <w:bCs/>
                <w:sz w:val="14"/>
                <w:szCs w:val="14"/>
              </w:rPr>
            </w:pPr>
            <w:r>
              <w:rPr>
                <w:b/>
                <w:bCs/>
                <w:sz w:val="14"/>
                <w:szCs w:val="14"/>
              </w:rPr>
              <w:t>Jun</w:t>
            </w:r>
          </w:p>
        </w:tc>
        <w:tc>
          <w:tcPr>
            <w:tcW w:w="716" w:type="dxa"/>
            <w:tcBorders>
              <w:bottom w:val="single" w:sz="8" w:space="0" w:color="auto"/>
            </w:tcBorders>
            <w:shd w:val="clear" w:color="auto" w:fill="auto"/>
            <w:tcMar>
              <w:left w:w="29" w:type="dxa"/>
              <w:right w:w="29" w:type="dxa"/>
            </w:tcMar>
            <w:vAlign w:val="center"/>
          </w:tcPr>
          <w:p w:rsidR="00E3300E" w:rsidRPr="00B8262F" w:rsidRDefault="00E3300E" w:rsidP="00E3300E">
            <w:pPr>
              <w:jc w:val="right"/>
              <w:rPr>
                <w:b/>
                <w:bCs/>
                <w:sz w:val="14"/>
                <w:szCs w:val="14"/>
              </w:rPr>
            </w:pPr>
            <w:r>
              <w:rPr>
                <w:b/>
                <w:bCs/>
                <w:sz w:val="14"/>
                <w:szCs w:val="14"/>
              </w:rPr>
              <w:t>Jul</w:t>
            </w:r>
          </w:p>
        </w:tc>
        <w:tc>
          <w:tcPr>
            <w:tcW w:w="814" w:type="dxa"/>
            <w:tcBorders>
              <w:top w:val="single" w:sz="4" w:space="0" w:color="auto"/>
              <w:bottom w:val="single" w:sz="8" w:space="0" w:color="auto"/>
            </w:tcBorders>
            <w:shd w:val="clear" w:color="auto" w:fill="auto"/>
            <w:tcMar>
              <w:left w:w="29" w:type="dxa"/>
              <w:right w:w="29" w:type="dxa"/>
            </w:tcMar>
            <w:vAlign w:val="center"/>
          </w:tcPr>
          <w:p w:rsidR="00E3300E" w:rsidRPr="00B8262F" w:rsidRDefault="00E3300E" w:rsidP="00E3300E">
            <w:pPr>
              <w:jc w:val="right"/>
              <w:rPr>
                <w:b/>
                <w:bCs/>
                <w:sz w:val="14"/>
                <w:szCs w:val="14"/>
              </w:rPr>
            </w:pPr>
            <w:r>
              <w:rPr>
                <w:b/>
                <w:bCs/>
                <w:sz w:val="14"/>
                <w:szCs w:val="14"/>
              </w:rPr>
              <w:t>Aug</w:t>
            </w:r>
          </w:p>
        </w:tc>
        <w:tc>
          <w:tcPr>
            <w:tcW w:w="810" w:type="dxa"/>
            <w:tcBorders>
              <w:top w:val="single" w:sz="4" w:space="0" w:color="auto"/>
              <w:bottom w:val="single" w:sz="8" w:space="0" w:color="auto"/>
            </w:tcBorders>
            <w:shd w:val="clear" w:color="auto" w:fill="auto"/>
            <w:tcMar>
              <w:left w:w="29" w:type="dxa"/>
              <w:right w:w="29" w:type="dxa"/>
            </w:tcMar>
            <w:vAlign w:val="center"/>
          </w:tcPr>
          <w:p w:rsidR="00E3300E" w:rsidRPr="00B8262F" w:rsidRDefault="00E3300E" w:rsidP="00E3300E">
            <w:pPr>
              <w:jc w:val="right"/>
              <w:rPr>
                <w:b/>
                <w:bCs/>
                <w:sz w:val="14"/>
                <w:szCs w:val="14"/>
              </w:rPr>
            </w:pPr>
            <w:r>
              <w:rPr>
                <w:b/>
                <w:bCs/>
                <w:sz w:val="14"/>
                <w:szCs w:val="14"/>
              </w:rPr>
              <w:t>Sep</w:t>
            </w:r>
          </w:p>
        </w:tc>
        <w:tc>
          <w:tcPr>
            <w:tcW w:w="805" w:type="dxa"/>
            <w:tcBorders>
              <w:top w:val="single" w:sz="4" w:space="0" w:color="auto"/>
              <w:bottom w:val="single" w:sz="8" w:space="0" w:color="auto"/>
            </w:tcBorders>
            <w:shd w:val="clear" w:color="auto" w:fill="auto"/>
            <w:tcMar>
              <w:left w:w="29" w:type="dxa"/>
              <w:right w:w="29" w:type="dxa"/>
            </w:tcMar>
            <w:vAlign w:val="center"/>
          </w:tcPr>
          <w:p w:rsidR="00E3300E" w:rsidRPr="00B8262F" w:rsidRDefault="00E3300E" w:rsidP="00E3300E">
            <w:pPr>
              <w:jc w:val="right"/>
              <w:rPr>
                <w:b/>
                <w:bCs/>
                <w:sz w:val="14"/>
                <w:szCs w:val="14"/>
              </w:rPr>
            </w:pPr>
            <w:r>
              <w:rPr>
                <w:b/>
                <w:bCs/>
                <w:sz w:val="14"/>
                <w:szCs w:val="14"/>
              </w:rPr>
              <w:t>Oct</w:t>
            </w:r>
          </w:p>
        </w:tc>
      </w:tr>
      <w:tr w:rsidR="00E3300E" w:rsidRPr="00CF65C3" w:rsidTr="00E3300E">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247,717</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333,397</w:t>
            </w:r>
          </w:p>
        </w:tc>
        <w:tc>
          <w:tcPr>
            <w:tcW w:w="818" w:type="dxa"/>
            <w:tcBorders>
              <w:top w:val="single" w:sz="8" w:space="0" w:color="auto"/>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312,223</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247,717</w:t>
            </w:r>
          </w:p>
        </w:tc>
        <w:tc>
          <w:tcPr>
            <w:tcW w:w="716" w:type="dxa"/>
            <w:tcBorders>
              <w:top w:val="single" w:sz="8" w:space="0" w:color="auto"/>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224,399</w:t>
            </w:r>
          </w:p>
        </w:tc>
        <w:tc>
          <w:tcPr>
            <w:tcW w:w="814" w:type="dxa"/>
            <w:tcBorders>
              <w:top w:val="single" w:sz="8" w:space="0" w:color="auto"/>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207,254</w:t>
            </w:r>
          </w:p>
        </w:tc>
        <w:tc>
          <w:tcPr>
            <w:tcW w:w="810" w:type="dxa"/>
            <w:tcBorders>
              <w:top w:val="single" w:sz="8" w:space="0" w:color="auto"/>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203,878</w:t>
            </w:r>
          </w:p>
        </w:tc>
        <w:tc>
          <w:tcPr>
            <w:tcW w:w="805" w:type="dxa"/>
            <w:tcBorders>
              <w:top w:val="single" w:sz="8" w:space="0" w:color="auto"/>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203,652</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47,103</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65,806</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62,989</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47,103</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39,331</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35,545</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33,860</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34,313</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25,204</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37,007</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36,555</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25,204</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21,415</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19,857</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21,988</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24,542</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306,192</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443,379</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458,361</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306,192</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275,636</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270,627</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261,791</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284,610</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273,461</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328,905</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319,809</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273,461</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260,592</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234,394</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256,528</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266,022</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5,159</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6,560</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7,011</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5,159</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4,100</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3,854</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3,763</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4,254</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1,284,984</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1,468,848</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1,463,180</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1,284,984</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1,234,183</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1,153,531</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1,187,417</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1,240,879</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56,935</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127,118</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122,363</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56,935</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46,883</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51,226</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55,933</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65,162</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440,313</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566,463</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590,694</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440,313</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434,875</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427,559</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443,120</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465,841</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537,140</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729,686</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732,829</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537,140</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471,354</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494,289</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480,855</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542,541</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35,787</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43,275</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40,868</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35,787</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31,091</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31,968</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33,408</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33,584</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136,743</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196,653</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188,648</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136,743</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124,574</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118,181</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136,218</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137,563</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90,598</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44,759</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45,237</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90,598</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88,718</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90,207</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94,918</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105,274</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123</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4,927</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7,128</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6,084</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4,927</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4,447</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4,709</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5,106</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4,408</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18,282</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23,094</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22,287</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18,282</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16,952</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16,917</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17,610</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23,853</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62,375</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75,086</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74,270</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62,375</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60,719</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60,767</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64,830</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63,283</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12,433</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15,999</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14,647</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12,433</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12,702</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11,709</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12,128</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10,806</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1,130,641</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1,406,457</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1,440,562</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1,130,641</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1,076,324</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889,998</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1,054,470</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1,123,318</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194,364</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310,433</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317,966</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194,364</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171,382</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143,089</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168,519</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187,175</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45,308</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66,643</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62,170</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45,308</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41,255</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38,842</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41,458</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42,588</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174,445</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263,996</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246,872</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174,445</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152,847</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146,950</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163,043</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188,368</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304,047</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368,476</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400,672</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304,047</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269,896</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247,318</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272,573</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274,550</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56,228</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109,417</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115,943</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56,228</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45,899</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45,211</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49,462</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60,562</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57,022</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77,522</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77,730</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57,022</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55,200</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52,844</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56,072</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60,931</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35,754</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36,030</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37,412</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35,754</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37,404</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42,949</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43,085</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41,166</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73,509</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100,307</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102,241</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73,509</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62,478</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57,800</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61,709</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66,018</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242,100</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200,527</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226,984</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242,100</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226,007</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227,275</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233,139</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223,773</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41,875</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47,503</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47,759</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41,875</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39,976</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38,208</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38,941</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38,809</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2,467</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27,856</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2,851</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2,467</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2,426</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2,370</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2,482</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2,340</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860,225</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867,696</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836,412</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860,225</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768,665</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827,154</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816,750</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758,433</w:t>
            </w:r>
          </w:p>
        </w:tc>
      </w:tr>
      <w:tr w:rsidR="00E3300E" w:rsidRPr="00CF65C3" w:rsidTr="00E3300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52,916</w:t>
            </w:r>
          </w:p>
        </w:tc>
        <w:tc>
          <w:tcPr>
            <w:tcW w:w="78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74,614</w:t>
            </w:r>
          </w:p>
        </w:tc>
        <w:tc>
          <w:tcPr>
            <w:tcW w:w="818" w:type="dxa"/>
            <w:tcBorders>
              <w:top w:val="nil"/>
              <w:left w:val="nil"/>
              <w:bottom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72,601</w:t>
            </w:r>
          </w:p>
        </w:tc>
        <w:tc>
          <w:tcPr>
            <w:tcW w:w="720" w:type="dxa"/>
            <w:tcBorders>
              <w:top w:val="nil"/>
              <w:left w:val="nil"/>
              <w:bottom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52,916</w:t>
            </w:r>
          </w:p>
        </w:tc>
        <w:tc>
          <w:tcPr>
            <w:tcW w:w="716"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52,649</w:t>
            </w:r>
          </w:p>
        </w:tc>
        <w:tc>
          <w:tcPr>
            <w:tcW w:w="814"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60,661</w:t>
            </w:r>
          </w:p>
        </w:tc>
        <w:tc>
          <w:tcPr>
            <w:tcW w:w="810"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62,151</w:t>
            </w:r>
          </w:p>
        </w:tc>
        <w:tc>
          <w:tcPr>
            <w:tcW w:w="805" w:type="dxa"/>
            <w:tcBorders>
              <w:top w:val="nil"/>
              <w:left w:val="nil"/>
              <w:bottom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77,837</w:t>
            </w:r>
          </w:p>
        </w:tc>
      </w:tr>
      <w:tr w:rsidR="00E3300E" w:rsidRPr="00CF65C3" w:rsidTr="00E3300E">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6,855</w:t>
            </w:r>
          </w:p>
        </w:tc>
        <w:tc>
          <w:tcPr>
            <w:tcW w:w="780"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6,889</w:t>
            </w:r>
          </w:p>
        </w:tc>
        <w:tc>
          <w:tcPr>
            <w:tcW w:w="818" w:type="dxa"/>
            <w:tcBorders>
              <w:top w:val="nil"/>
              <w:left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7,097</w:t>
            </w:r>
          </w:p>
        </w:tc>
        <w:tc>
          <w:tcPr>
            <w:tcW w:w="720"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6,855</w:t>
            </w:r>
          </w:p>
        </w:tc>
        <w:tc>
          <w:tcPr>
            <w:tcW w:w="716"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6,123</w:t>
            </w:r>
          </w:p>
        </w:tc>
        <w:tc>
          <w:tcPr>
            <w:tcW w:w="814"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5,427</w:t>
            </w:r>
          </w:p>
        </w:tc>
        <w:tc>
          <w:tcPr>
            <w:tcW w:w="810"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5,990</w:t>
            </w:r>
          </w:p>
        </w:tc>
        <w:tc>
          <w:tcPr>
            <w:tcW w:w="805"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6,666</w:t>
            </w:r>
          </w:p>
        </w:tc>
      </w:tr>
      <w:tr w:rsidR="00E3300E" w:rsidRPr="00CF65C3" w:rsidTr="00E3300E">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E3300E" w:rsidRPr="0024736D" w:rsidRDefault="00E3300E" w:rsidP="00E3300E">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1,454</w:t>
            </w:r>
          </w:p>
        </w:tc>
        <w:tc>
          <w:tcPr>
            <w:tcW w:w="780"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495</w:t>
            </w:r>
          </w:p>
        </w:tc>
        <w:tc>
          <w:tcPr>
            <w:tcW w:w="818" w:type="dxa"/>
            <w:tcBorders>
              <w:top w:val="nil"/>
              <w:left w:val="nil"/>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490</w:t>
            </w:r>
          </w:p>
        </w:tc>
        <w:tc>
          <w:tcPr>
            <w:tcW w:w="720" w:type="dxa"/>
            <w:tcBorders>
              <w:top w:val="nil"/>
              <w:left w:val="nil"/>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1,454</w:t>
            </w:r>
          </w:p>
        </w:tc>
        <w:tc>
          <w:tcPr>
            <w:tcW w:w="716"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1,435</w:t>
            </w:r>
          </w:p>
        </w:tc>
        <w:tc>
          <w:tcPr>
            <w:tcW w:w="814"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1,435</w:t>
            </w:r>
          </w:p>
        </w:tc>
        <w:tc>
          <w:tcPr>
            <w:tcW w:w="810"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1,422</w:t>
            </w:r>
          </w:p>
        </w:tc>
        <w:tc>
          <w:tcPr>
            <w:tcW w:w="805" w:type="dxa"/>
            <w:tcBorders>
              <w:top w:val="nil"/>
              <w:left w:val="nil"/>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1,425</w:t>
            </w:r>
          </w:p>
        </w:tc>
      </w:tr>
      <w:tr w:rsidR="00E3300E" w:rsidRPr="00CF65C3" w:rsidTr="00E3300E">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E3300E" w:rsidRPr="0024736D" w:rsidRDefault="00E3300E" w:rsidP="00E3300E">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E3300E" w:rsidRPr="0024736D" w:rsidRDefault="00E3300E" w:rsidP="00E3300E">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22,615</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28,019</w:t>
            </w:r>
          </w:p>
        </w:tc>
        <w:tc>
          <w:tcPr>
            <w:tcW w:w="818" w:type="dxa"/>
            <w:tcBorders>
              <w:top w:val="nil"/>
              <w:left w:val="nil"/>
              <w:bottom w:val="single" w:sz="4" w:space="0" w:color="auto"/>
              <w:right w:val="nil"/>
            </w:tcBorders>
            <w:tcMar>
              <w:left w:w="29" w:type="dxa"/>
              <w:right w:w="29" w:type="dxa"/>
            </w:tcMar>
            <w:vAlign w:val="center"/>
          </w:tcPr>
          <w:p w:rsidR="00E3300E" w:rsidRDefault="00E3300E" w:rsidP="00E3300E">
            <w:pPr>
              <w:jc w:val="right"/>
              <w:rPr>
                <w:color w:val="000000"/>
                <w:sz w:val="14"/>
                <w:szCs w:val="14"/>
              </w:rPr>
            </w:pPr>
            <w:r>
              <w:rPr>
                <w:color w:val="000000"/>
                <w:sz w:val="14"/>
                <w:szCs w:val="14"/>
              </w:rPr>
              <w:t>26,729</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E3300E" w:rsidRDefault="00E3300E" w:rsidP="00E3300E">
            <w:pPr>
              <w:jc w:val="right"/>
              <w:rPr>
                <w:color w:val="000000"/>
                <w:sz w:val="14"/>
                <w:szCs w:val="14"/>
              </w:rPr>
            </w:pPr>
            <w:r>
              <w:rPr>
                <w:color w:val="000000"/>
                <w:sz w:val="14"/>
                <w:szCs w:val="14"/>
              </w:rPr>
              <w:t>22,615</w:t>
            </w:r>
          </w:p>
        </w:tc>
        <w:tc>
          <w:tcPr>
            <w:tcW w:w="716" w:type="dxa"/>
            <w:tcBorders>
              <w:top w:val="nil"/>
              <w:left w:val="nil"/>
              <w:bottom w:val="single" w:sz="4" w:space="0" w:color="auto"/>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22,237</w:t>
            </w:r>
          </w:p>
        </w:tc>
        <w:tc>
          <w:tcPr>
            <w:tcW w:w="814" w:type="dxa"/>
            <w:tcBorders>
              <w:top w:val="nil"/>
              <w:left w:val="nil"/>
              <w:bottom w:val="single" w:sz="4" w:space="0" w:color="auto"/>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21,792</w:t>
            </w:r>
          </w:p>
        </w:tc>
        <w:tc>
          <w:tcPr>
            <w:tcW w:w="810" w:type="dxa"/>
            <w:tcBorders>
              <w:top w:val="nil"/>
              <w:left w:val="nil"/>
              <w:bottom w:val="single" w:sz="4" w:space="0" w:color="auto"/>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21,814</w:t>
            </w:r>
          </w:p>
        </w:tc>
        <w:tc>
          <w:tcPr>
            <w:tcW w:w="805" w:type="dxa"/>
            <w:tcBorders>
              <w:top w:val="nil"/>
              <w:left w:val="nil"/>
              <w:bottom w:val="single" w:sz="4" w:space="0" w:color="auto"/>
              <w:right w:val="nil"/>
            </w:tcBorders>
            <w:shd w:val="clear" w:color="auto" w:fill="auto"/>
            <w:tcMar>
              <w:left w:w="29" w:type="dxa"/>
              <w:right w:w="29" w:type="dxa"/>
            </w:tcMar>
            <w:vAlign w:val="center"/>
          </w:tcPr>
          <w:p w:rsidR="00E3300E" w:rsidRDefault="00E3300E" w:rsidP="00E3300E">
            <w:pPr>
              <w:jc w:val="right"/>
              <w:rPr>
                <w:color w:val="000000"/>
                <w:sz w:val="14"/>
                <w:szCs w:val="14"/>
              </w:rPr>
            </w:pPr>
            <w:r>
              <w:rPr>
                <w:color w:val="000000"/>
                <w:sz w:val="14"/>
                <w:szCs w:val="14"/>
              </w:rPr>
              <w:t>25,372</w:t>
            </w:r>
          </w:p>
        </w:tc>
      </w:tr>
      <w:tr w:rsidR="00E3300E" w:rsidRPr="00B631EC" w:rsidTr="00E3300E">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3300E" w:rsidRPr="0024736D" w:rsidRDefault="00E3300E" w:rsidP="00E3300E">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3300E" w:rsidRPr="0024736D" w:rsidRDefault="00E3300E" w:rsidP="00E3300E">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3300E" w:rsidRPr="00BB0883" w:rsidRDefault="00E3300E" w:rsidP="00E3300E">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E3300E" w:rsidRDefault="00E3300E" w:rsidP="00E3300E">
            <w:pPr>
              <w:jc w:val="right"/>
              <w:rPr>
                <w:b/>
                <w:bCs/>
                <w:color w:val="000000"/>
                <w:sz w:val="14"/>
                <w:szCs w:val="14"/>
              </w:rPr>
            </w:pPr>
            <w:r>
              <w:rPr>
                <w:b/>
                <w:bCs/>
                <w:color w:val="000000"/>
                <w:sz w:val="14"/>
                <w:szCs w:val="14"/>
              </w:rPr>
              <w:t>6,887,301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3300E" w:rsidRDefault="00E3300E" w:rsidP="00E3300E">
            <w:pPr>
              <w:jc w:val="right"/>
              <w:rPr>
                <w:b/>
                <w:bCs/>
                <w:color w:val="000000"/>
                <w:sz w:val="14"/>
                <w:szCs w:val="14"/>
              </w:rPr>
            </w:pPr>
            <w:r>
              <w:rPr>
                <w:b/>
                <w:bCs/>
                <w:color w:val="000000"/>
                <w:sz w:val="14"/>
                <w:szCs w:val="14"/>
              </w:rPr>
              <w:t>8,506,167</w:t>
            </w:r>
          </w:p>
        </w:tc>
        <w:tc>
          <w:tcPr>
            <w:tcW w:w="818" w:type="dxa"/>
            <w:tcBorders>
              <w:top w:val="single" w:sz="4" w:space="0" w:color="auto"/>
              <w:left w:val="nil"/>
              <w:bottom w:val="single" w:sz="8" w:space="0" w:color="auto"/>
              <w:right w:val="nil"/>
            </w:tcBorders>
            <w:tcMar>
              <w:left w:w="29" w:type="dxa"/>
              <w:right w:w="29" w:type="dxa"/>
            </w:tcMar>
            <w:vAlign w:val="center"/>
          </w:tcPr>
          <w:p w:rsidR="00E3300E" w:rsidRPr="00E3300E" w:rsidRDefault="00E3300E" w:rsidP="00E3300E">
            <w:pPr>
              <w:jc w:val="right"/>
              <w:rPr>
                <w:b/>
                <w:bCs/>
                <w:color w:val="000000"/>
                <w:sz w:val="14"/>
                <w:szCs w:val="14"/>
              </w:rPr>
            </w:pPr>
            <w:r w:rsidRPr="00E3300E">
              <w:rPr>
                <w:b/>
                <w:bCs/>
                <w:color w:val="000000"/>
                <w:sz w:val="14"/>
                <w:szCs w:val="14"/>
              </w:rPr>
              <w:t>8,520,668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3300E" w:rsidRDefault="00E3300E" w:rsidP="00E3300E">
            <w:pPr>
              <w:jc w:val="right"/>
              <w:rPr>
                <w:b/>
                <w:bCs/>
                <w:color w:val="000000"/>
                <w:sz w:val="14"/>
                <w:szCs w:val="14"/>
              </w:rPr>
            </w:pPr>
            <w:r>
              <w:rPr>
                <w:b/>
                <w:bCs/>
                <w:color w:val="000000"/>
                <w:sz w:val="14"/>
                <w:szCs w:val="14"/>
              </w:rPr>
              <w:t>6,887,301</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E3300E" w:rsidRDefault="00E3300E" w:rsidP="00E3300E">
            <w:pPr>
              <w:jc w:val="right"/>
              <w:rPr>
                <w:b/>
                <w:bCs/>
                <w:color w:val="000000"/>
                <w:sz w:val="14"/>
                <w:szCs w:val="14"/>
              </w:rPr>
            </w:pPr>
            <w:r>
              <w:rPr>
                <w:b/>
                <w:bCs/>
                <w:color w:val="000000"/>
                <w:sz w:val="14"/>
                <w:szCs w:val="14"/>
              </w:rPr>
              <w:t>6,384,299</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E3300E" w:rsidRDefault="00E3300E" w:rsidP="00E3300E">
            <w:pPr>
              <w:jc w:val="right"/>
              <w:rPr>
                <w:b/>
                <w:bCs/>
                <w:color w:val="000000"/>
                <w:sz w:val="14"/>
                <w:szCs w:val="14"/>
              </w:rPr>
            </w:pPr>
            <w:r>
              <w:rPr>
                <w:b/>
                <w:bCs/>
                <w:color w:val="000000"/>
                <w:sz w:val="14"/>
                <w:szCs w:val="14"/>
              </w:rPr>
              <w:t>6,082,043</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E3300E" w:rsidRDefault="00E3300E" w:rsidP="00E3300E">
            <w:pPr>
              <w:jc w:val="right"/>
              <w:rPr>
                <w:b/>
                <w:bCs/>
                <w:color w:val="000000"/>
                <w:sz w:val="14"/>
                <w:szCs w:val="14"/>
              </w:rPr>
            </w:pPr>
            <w:r>
              <w:rPr>
                <w:b/>
                <w:bCs/>
                <w:color w:val="000000"/>
                <w:sz w:val="14"/>
                <w:szCs w:val="14"/>
              </w:rPr>
              <w:t>6,406,554</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E3300E" w:rsidRPr="00E3300E" w:rsidRDefault="00E3300E" w:rsidP="00E3300E">
            <w:pPr>
              <w:jc w:val="right"/>
              <w:rPr>
                <w:b/>
                <w:bCs/>
                <w:color w:val="000000"/>
                <w:sz w:val="14"/>
                <w:szCs w:val="14"/>
              </w:rPr>
            </w:pPr>
            <w:r w:rsidRPr="00E3300E">
              <w:rPr>
                <w:b/>
                <w:bCs/>
                <w:color w:val="000000"/>
                <w:sz w:val="14"/>
                <w:szCs w:val="14"/>
              </w:rPr>
              <w:t>6,690,045</w:t>
            </w:r>
          </w:p>
        </w:tc>
      </w:tr>
      <w:tr w:rsidR="00E3300E"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E3300E" w:rsidRPr="003659BA" w:rsidRDefault="00E3300E" w:rsidP="00E3300E">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E3300E" w:rsidRPr="008D555E" w:rsidRDefault="00E3300E" w:rsidP="00E3300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E3300E" w:rsidP="00E3300E">
            <w:pPr>
              <w:jc w:val="right"/>
              <w:rPr>
                <w:b/>
                <w:bCs/>
                <w:color w:val="000000"/>
                <w:sz w:val="15"/>
                <w:szCs w:val="15"/>
              </w:rPr>
            </w:pPr>
            <w:r>
              <w:rPr>
                <w:b/>
                <w:bCs/>
                <w:color w:val="000000"/>
                <w:sz w:val="15"/>
                <w:szCs w:val="15"/>
              </w:rPr>
              <w:t>11,218.39</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1A636E" w:rsidP="00B631EC">
      <w:pPr>
        <w:jc w:val="center"/>
      </w:pPr>
      <w:r w:rsidRPr="001A636E">
        <w:drawing>
          <wp:inline distT="0" distB="0" distL="0" distR="0">
            <wp:extent cx="5839246" cy="3038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3659" cy="3040771"/>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bookmarkStart w:id="0" w:name="_GoBack"/>
      <w:bookmarkEnd w:id="0"/>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D6" w:rsidRDefault="006955D6">
      <w:r>
        <w:separator/>
      </w:r>
    </w:p>
  </w:endnote>
  <w:endnote w:type="continuationSeparator" w:id="0">
    <w:p w:rsidR="006955D6" w:rsidRDefault="0069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D6" w:rsidRDefault="006955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55D6" w:rsidRDefault="00695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D6" w:rsidRDefault="006955D6">
    <w:pPr>
      <w:pStyle w:val="Footer"/>
      <w:jc w:val="center"/>
    </w:pPr>
    <w:r>
      <w:rPr>
        <w:noProof/>
      </w:rPr>
      <w:fldChar w:fldCharType="begin"/>
    </w:r>
    <w:r>
      <w:rPr>
        <w:noProof/>
      </w:rPr>
      <w:instrText xml:space="preserve"> PAGE   \* MERGEFORMAT </w:instrText>
    </w:r>
    <w:r>
      <w:rPr>
        <w:noProof/>
      </w:rPr>
      <w:fldChar w:fldCharType="separate"/>
    </w:r>
    <w:r w:rsidR="001A636E">
      <w:rPr>
        <w:noProof/>
      </w:rPr>
      <w:t>140</w:t>
    </w:r>
    <w:r>
      <w:rPr>
        <w:noProof/>
      </w:rPr>
      <w:fldChar w:fldCharType="end"/>
    </w:r>
  </w:p>
  <w:p w:rsidR="006955D6" w:rsidRDefault="006955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D6" w:rsidRDefault="006955D6">
      <w:r>
        <w:separator/>
      </w:r>
    </w:p>
  </w:footnote>
  <w:footnote w:type="continuationSeparator" w:id="0">
    <w:p w:rsidR="006955D6" w:rsidRDefault="0069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A636E"/>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14D2"/>
    <w:rsid w:val="0040352F"/>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FEA52"/>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763DC-0CBE-4E4E-90C0-DB1E21AB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8</Pages>
  <Words>4443</Words>
  <Characters>25330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159</cp:revision>
  <cp:lastPrinted>2017-07-03T05:52:00Z</cp:lastPrinted>
  <dcterms:created xsi:type="dcterms:W3CDTF">2017-08-23T10:10:00Z</dcterms:created>
  <dcterms:modified xsi:type="dcterms:W3CDTF">2019-11-25T11:21:00Z</dcterms:modified>
</cp:coreProperties>
</file>