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D37119" w:rsidRPr="00FA2FBA" w:rsidTr="008754F5">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D37119" w:rsidRPr="00FA2FBA" w:rsidRDefault="00D37119" w:rsidP="008C15F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D37119" w:rsidRPr="00FA2FBA" w:rsidRDefault="00D37119" w:rsidP="008C15FE">
            <w:pPr>
              <w:rPr>
                <w:b/>
                <w:bCs/>
                <w:color w:val="auto"/>
                <w:szCs w:val="16"/>
              </w:rPr>
            </w:pPr>
            <w:r>
              <w:rPr>
                <w:b/>
                <w:bCs/>
                <w:color w:val="auto"/>
                <w:szCs w:val="16"/>
              </w:rPr>
              <w:t>FY15</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B4080E">
            <w:pPr>
              <w:rPr>
                <w:b/>
                <w:bCs/>
                <w:color w:val="auto"/>
                <w:szCs w:val="16"/>
              </w:rPr>
            </w:pPr>
            <w:r w:rsidRPr="00B4080E">
              <w:rPr>
                <w:b/>
                <w:bCs/>
                <w:color w:val="auto"/>
                <w:szCs w:val="16"/>
              </w:rPr>
              <w:t>FY17</w:t>
            </w:r>
          </w:p>
        </w:tc>
        <w:tc>
          <w:tcPr>
            <w:tcW w:w="2250" w:type="dxa"/>
            <w:gridSpan w:val="3"/>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2017</w:t>
            </w:r>
          </w:p>
        </w:tc>
        <w:tc>
          <w:tcPr>
            <w:tcW w:w="2250" w:type="dxa"/>
            <w:gridSpan w:val="3"/>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2018</w:t>
            </w:r>
          </w:p>
        </w:tc>
      </w:tr>
      <w:tr w:rsidR="008754F5" w:rsidRPr="00FA2FBA" w:rsidTr="008754F5">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8754F5" w:rsidRPr="00FA2FBA" w:rsidRDefault="008754F5" w:rsidP="008754F5">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8754F5" w:rsidRPr="006619BF" w:rsidRDefault="008754F5" w:rsidP="008754F5">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1,101,149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1,221,430</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1,150,625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941,783</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785,589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727,029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684,557</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2,415,139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2,503,947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2,437,497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2,364,316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2,241,640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2,174,503</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2,203,040</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270,361</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273,092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270,760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297,139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308,710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302,540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317,447</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63,716</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64,481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64,859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61,937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63,397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59,492</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62,327</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10,319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12,520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11,368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24,504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25,331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27,602</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26,815</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1,673,291</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1,318,921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1,232,377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1,367,490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888,052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943,394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806,561</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94,091</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540,832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563,433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287,506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622,023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510,399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642,306</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302,158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294,100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294,700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325,610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333,573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331,027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347,584</w:t>
            </w:r>
          </w:p>
        </w:tc>
      </w:tr>
      <w:tr w:rsidR="00884D1B" w:rsidRPr="006764F7"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i/>
                <w:iCs/>
                <w:sz w:val="14"/>
                <w:szCs w:val="14"/>
              </w:rPr>
            </w:pPr>
            <w:r>
              <w:rPr>
                <w:i/>
                <w:iCs/>
                <w:sz w:val="14"/>
                <w:szCs w:val="14"/>
              </w:rPr>
              <w:t>296,399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i/>
                <w:iCs/>
                <w:sz w:val="14"/>
                <w:szCs w:val="14"/>
              </w:rPr>
            </w:pPr>
            <w:r>
              <w:rPr>
                <w:i/>
                <w:iCs/>
                <w:sz w:val="14"/>
                <w:szCs w:val="14"/>
              </w:rPr>
              <w:t>288,316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i/>
                <w:iCs/>
                <w:sz w:val="14"/>
                <w:szCs w:val="14"/>
              </w:rPr>
            </w:pPr>
            <w:r>
              <w:rPr>
                <w:i/>
                <w:iCs/>
                <w:sz w:val="14"/>
                <w:szCs w:val="14"/>
              </w:rPr>
              <w:t>288,954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i/>
                <w:iCs/>
                <w:sz w:val="14"/>
                <w:szCs w:val="14"/>
              </w:rPr>
            </w:pPr>
            <w:r>
              <w:rPr>
                <w:i/>
                <w:iCs/>
                <w:sz w:val="14"/>
                <w:szCs w:val="14"/>
              </w:rPr>
              <w:t>319,417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i/>
                <w:iCs/>
                <w:sz w:val="14"/>
                <w:szCs w:val="14"/>
              </w:rPr>
            </w:pPr>
            <w:r>
              <w:rPr>
                <w:i/>
                <w:iCs/>
                <w:sz w:val="14"/>
                <w:szCs w:val="14"/>
              </w:rPr>
              <w:t>327,194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i/>
                <w:iCs/>
                <w:sz w:val="14"/>
                <w:szCs w:val="14"/>
              </w:rPr>
            </w:pPr>
            <w:r>
              <w:rPr>
                <w:i/>
                <w:iCs/>
                <w:sz w:val="14"/>
                <w:szCs w:val="14"/>
              </w:rPr>
              <w:t>324,747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i/>
                <w:iCs/>
                <w:sz w:val="14"/>
                <w:szCs w:val="14"/>
              </w:rPr>
            </w:pPr>
            <w:r>
              <w:rPr>
                <w:i/>
                <w:iCs/>
                <w:sz w:val="14"/>
                <w:szCs w:val="14"/>
              </w:rPr>
              <w:t>341,064</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1,313,990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1,282,516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1,286,872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1,422,533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1,456,051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1,447,475</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1,518,483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74,664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74,767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75,070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79,114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78,827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82,525</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939,436</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911,918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915,533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1,012,580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1,034,888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1,027,149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1,076,196</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155,550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155,614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155,230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175,646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183,008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182,846</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193,553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144,340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140,217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141,038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155,379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159,041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158,653</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166,210</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2,047,042</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1,447,338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1,642,259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2,222,177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1,475,709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2,058,120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601,033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2,329,434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2,379,079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2,226,404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2,347,094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3,282,390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2,846,985</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4,493,533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2,424,678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2,764,036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2,632,468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2,611,382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3,637,982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3,145,891</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4,737,790</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2,524,167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2,998,358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2,795,823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2,664,054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3,695,956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3,203,490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4,793,953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2,521,427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2,995,618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2,793,083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2,622,892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3,655,957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3,162,680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4,752,885</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41,162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39,998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40,810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41,068</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234,323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163,355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52,672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57,974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57,599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56,163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234,323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163,355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52,672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57,974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57,599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56,163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(264,288)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(298,906)</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(244,257)</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4,883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151</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4,485</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4,883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151</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4,485</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269,171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299,057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248,742</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406,064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269,171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299,057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248,742</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24,408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32,193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32,086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23,538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23,386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23,414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23,463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4,988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12,219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12,232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4,645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4,651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4,652</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4,665</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34</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46</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19,407</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19,963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19,842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18,867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18,705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18,728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18,753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4,838,708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4,244,761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4,262,749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4,855,742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4,908,512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4,990,509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5,037,101</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4,167,136</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3,661,648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3,672,538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4,119,552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4,175,386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4,233,439</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4,287,150</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b/>
                <w:bCs/>
                <w:sz w:val="14"/>
                <w:szCs w:val="14"/>
              </w:rPr>
            </w:pPr>
            <w:r>
              <w:rPr>
                <w:b/>
                <w:bCs/>
                <w:sz w:val="14"/>
                <w:szCs w:val="14"/>
              </w:rPr>
              <w:t>580,111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587,228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733,304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730,150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b/>
                <w:bCs/>
                <w:sz w:val="14"/>
                <w:szCs w:val="14"/>
              </w:rPr>
            </w:pPr>
            <w:r>
              <w:rPr>
                <w:b/>
                <w:bCs/>
                <w:sz w:val="14"/>
                <w:szCs w:val="14"/>
              </w:rPr>
              <w:t>754,020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746,633</w:t>
            </w:r>
          </w:p>
        </w:tc>
      </w:tr>
      <w:tr w:rsidR="00884D1B" w:rsidRPr="00FA2FBA" w:rsidTr="00884D1B">
        <w:trPr>
          <w:trHeight w:val="266"/>
        </w:trPr>
        <w:tc>
          <w:tcPr>
            <w:tcW w:w="3912" w:type="dxa"/>
            <w:tcBorders>
              <w:top w:val="nil"/>
              <w:left w:val="nil"/>
              <w:bottom w:val="nil"/>
              <w:right w:val="nil"/>
            </w:tcBorders>
            <w:shd w:val="clear" w:color="auto" w:fill="auto"/>
            <w:noWrap/>
            <w:vAlign w:val="center"/>
            <w:hideMark/>
          </w:tcPr>
          <w:p w:rsidR="00884D1B" w:rsidRPr="00FA2FBA" w:rsidRDefault="00884D1B" w:rsidP="008754F5">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580,111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587,228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733,304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730,150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754,020</w:t>
            </w:r>
          </w:p>
        </w:tc>
        <w:tc>
          <w:tcPr>
            <w:tcW w:w="810"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746,633</w:t>
            </w:r>
          </w:p>
        </w:tc>
      </w:tr>
      <w:tr w:rsidR="00884D1B" w:rsidRPr="00FA2FBA" w:rsidTr="00884D1B">
        <w:trPr>
          <w:trHeight w:val="266"/>
        </w:trPr>
        <w:tc>
          <w:tcPr>
            <w:tcW w:w="3912" w:type="dxa"/>
            <w:tcBorders>
              <w:top w:val="nil"/>
              <w:left w:val="nil"/>
              <w:bottom w:val="single" w:sz="12" w:space="0" w:color="auto"/>
              <w:right w:val="nil"/>
            </w:tcBorders>
            <w:shd w:val="clear" w:color="auto" w:fill="auto"/>
            <w:noWrap/>
            <w:vAlign w:val="center"/>
            <w:hideMark/>
          </w:tcPr>
          <w:p w:rsidR="00884D1B" w:rsidRPr="00FA2FBA" w:rsidRDefault="00884D1B" w:rsidP="008754F5">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754F5">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20"/>
        <w:gridCol w:w="730"/>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D37119" w:rsidRPr="00FA2FBA" w:rsidTr="00884D1B">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D37119" w:rsidRPr="00FA2FBA" w:rsidRDefault="00D37119" w:rsidP="00DF368E">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FY15</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FY16</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D37119" w:rsidRPr="00FA2FBA" w:rsidRDefault="00D37119" w:rsidP="00B4080E">
            <w:pPr>
              <w:jc w:val="right"/>
              <w:rPr>
                <w:b/>
                <w:bCs/>
                <w:color w:val="auto"/>
                <w:szCs w:val="16"/>
              </w:rPr>
            </w:pPr>
            <w:r w:rsidRPr="00B4080E">
              <w:rPr>
                <w:b/>
                <w:bCs/>
                <w:color w:val="auto"/>
                <w:szCs w:val="16"/>
              </w:rPr>
              <w:t>FY17</w:t>
            </w:r>
          </w:p>
        </w:tc>
        <w:tc>
          <w:tcPr>
            <w:tcW w:w="2165" w:type="dxa"/>
            <w:gridSpan w:val="3"/>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2017</w:t>
            </w:r>
          </w:p>
        </w:tc>
        <w:tc>
          <w:tcPr>
            <w:tcW w:w="2225" w:type="dxa"/>
            <w:gridSpan w:val="3"/>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2018</w:t>
            </w:r>
          </w:p>
        </w:tc>
      </w:tr>
      <w:tr w:rsidR="003370AC" w:rsidRPr="00FA2FBA" w:rsidTr="00884D1B">
        <w:trPr>
          <w:trHeight w:val="268"/>
        </w:trPr>
        <w:tc>
          <w:tcPr>
            <w:tcW w:w="4100" w:type="dxa"/>
            <w:vMerge/>
            <w:tcBorders>
              <w:bottom w:val="single" w:sz="12" w:space="0" w:color="auto"/>
              <w:right w:val="single" w:sz="4" w:space="0" w:color="auto"/>
            </w:tcBorders>
            <w:shd w:val="clear" w:color="auto" w:fill="auto"/>
            <w:noWrap/>
            <w:vAlign w:val="center"/>
            <w:hideMark/>
          </w:tcPr>
          <w:p w:rsidR="003370AC" w:rsidRPr="00FA2FBA" w:rsidRDefault="003370AC" w:rsidP="003370AC">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720" w:type="dxa"/>
            <w:tcBorders>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Mar</w:t>
            </w:r>
          </w:p>
        </w:tc>
        <w:tc>
          <w:tcPr>
            <w:tcW w:w="730"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Dec</w:t>
            </w: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Jan</w:t>
            </w:r>
          </w:p>
        </w:tc>
        <w:tc>
          <w:tcPr>
            <w:tcW w:w="725" w:type="dxa"/>
            <w:tcBorders>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780" w:type="dxa"/>
            <w:tcBorders>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884D1B" w:rsidRPr="00FA2FBA" w:rsidTr="00884D1B">
        <w:trPr>
          <w:trHeight w:val="245"/>
        </w:trPr>
        <w:tc>
          <w:tcPr>
            <w:tcW w:w="4100" w:type="dxa"/>
            <w:tcBorders>
              <w:top w:val="single" w:sz="12" w:space="0" w:color="auto"/>
            </w:tcBorders>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2,914</w:t>
            </w:r>
          </w:p>
        </w:tc>
        <w:tc>
          <w:tcPr>
            <w:tcW w:w="741"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5,259</w:t>
            </w:r>
          </w:p>
        </w:tc>
        <w:tc>
          <w:tcPr>
            <w:tcW w:w="815"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3,002</w:t>
            </w:r>
          </w:p>
        </w:tc>
        <w:tc>
          <w:tcPr>
            <w:tcW w:w="720" w:type="dxa"/>
            <w:tcBorders>
              <w:top w:val="single" w:sz="12" w:space="0" w:color="auto"/>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2,983</w:t>
            </w:r>
          </w:p>
        </w:tc>
        <w:tc>
          <w:tcPr>
            <w:tcW w:w="730"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2,886</w:t>
            </w:r>
          </w:p>
        </w:tc>
        <w:tc>
          <w:tcPr>
            <w:tcW w:w="720"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2,975</w:t>
            </w:r>
          </w:p>
        </w:tc>
        <w:tc>
          <w:tcPr>
            <w:tcW w:w="725" w:type="dxa"/>
            <w:tcBorders>
              <w:top w:val="single" w:sz="12" w:space="0" w:color="auto"/>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3,049</w:t>
            </w:r>
          </w:p>
        </w:tc>
        <w:tc>
          <w:tcPr>
            <w:tcW w:w="780" w:type="dxa"/>
            <w:tcBorders>
              <w:top w:val="single" w:sz="12" w:space="0" w:color="auto"/>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3,318</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411</w:t>
            </w:r>
          </w:p>
        </w:tc>
        <w:tc>
          <w:tcPr>
            <w:tcW w:w="741"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1,601</w:t>
            </w:r>
          </w:p>
        </w:tc>
        <w:tc>
          <w:tcPr>
            <w:tcW w:w="8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1,517</w:t>
            </w:r>
          </w:p>
        </w:tc>
        <w:tc>
          <w:tcPr>
            <w:tcW w:w="720" w:type="dxa"/>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1,517</w:t>
            </w:r>
          </w:p>
        </w:tc>
        <w:tc>
          <w:tcPr>
            <w:tcW w:w="73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1,534</w:t>
            </w:r>
          </w:p>
        </w:tc>
        <w:tc>
          <w:tcPr>
            <w:tcW w:w="72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1,520</w:t>
            </w:r>
          </w:p>
        </w:tc>
        <w:tc>
          <w:tcPr>
            <w:tcW w:w="72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1,520</w:t>
            </w:r>
          </w:p>
        </w:tc>
        <w:tc>
          <w:tcPr>
            <w:tcW w:w="780" w:type="dxa"/>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1,337</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116</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112</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132</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183</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1,478</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1,405</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1,405</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1,402</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1,388</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1,388</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1,205</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2,502</w:t>
            </w:r>
          </w:p>
        </w:tc>
        <w:tc>
          <w:tcPr>
            <w:tcW w:w="741"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3,658</w:t>
            </w:r>
          </w:p>
        </w:tc>
        <w:tc>
          <w:tcPr>
            <w:tcW w:w="8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1,486</w:t>
            </w:r>
          </w:p>
        </w:tc>
        <w:tc>
          <w:tcPr>
            <w:tcW w:w="720" w:type="dxa"/>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1,467</w:t>
            </w:r>
          </w:p>
        </w:tc>
        <w:tc>
          <w:tcPr>
            <w:tcW w:w="73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1,352</w:t>
            </w:r>
          </w:p>
        </w:tc>
        <w:tc>
          <w:tcPr>
            <w:tcW w:w="72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1,455</w:t>
            </w:r>
          </w:p>
        </w:tc>
        <w:tc>
          <w:tcPr>
            <w:tcW w:w="72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1,529</w:t>
            </w:r>
          </w:p>
        </w:tc>
        <w:tc>
          <w:tcPr>
            <w:tcW w:w="780" w:type="dxa"/>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1,980</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1,790</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3,203</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977</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945</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843</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943</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902</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1,344</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712</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455</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509</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521</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509</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511</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627</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636</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41,348</w:t>
            </w:r>
          </w:p>
        </w:tc>
        <w:tc>
          <w:tcPr>
            <w:tcW w:w="741"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46,276</w:t>
            </w:r>
          </w:p>
        </w:tc>
        <w:tc>
          <w:tcPr>
            <w:tcW w:w="8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51,168</w:t>
            </w:r>
          </w:p>
        </w:tc>
        <w:tc>
          <w:tcPr>
            <w:tcW w:w="7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46,107</w:t>
            </w:r>
          </w:p>
        </w:tc>
        <w:tc>
          <w:tcPr>
            <w:tcW w:w="720" w:type="dxa"/>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46,043</w:t>
            </w:r>
          </w:p>
        </w:tc>
        <w:tc>
          <w:tcPr>
            <w:tcW w:w="73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51,077</w:t>
            </w:r>
          </w:p>
        </w:tc>
        <w:tc>
          <w:tcPr>
            <w:tcW w:w="72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51,107</w:t>
            </w:r>
          </w:p>
        </w:tc>
        <w:tc>
          <w:tcPr>
            <w:tcW w:w="72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50,994</w:t>
            </w:r>
          </w:p>
        </w:tc>
        <w:tc>
          <w:tcPr>
            <w:tcW w:w="780" w:type="dxa"/>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51,326</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884D1B" w:rsidRDefault="00884D1B" w:rsidP="00884D1B">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884D1B" w:rsidRDefault="00884D1B" w:rsidP="003370AC">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884D1B" w:rsidRDefault="00884D1B" w:rsidP="00884D1B">
            <w:pPr>
              <w:ind w:firstLineChars="200" w:firstLine="320"/>
              <w:jc w:val="right"/>
              <w:rPr>
                <w:i/>
                <w:iCs/>
                <w:szCs w:val="16"/>
              </w:rPr>
            </w:pPr>
            <w:r>
              <w:rPr>
                <w:i/>
                <w:iCs/>
                <w:szCs w:val="16"/>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5,933</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12,721</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80,880</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884D1B" w:rsidRPr="00415E56" w:rsidRDefault="00884D1B" w:rsidP="003370AC">
            <w:pPr>
              <w:jc w:val="right"/>
              <w:rPr>
                <w:b/>
                <w:bCs/>
                <w:sz w:val="14"/>
                <w:szCs w:val="14"/>
              </w:rPr>
            </w:pPr>
            <w:r w:rsidRPr="00415E56">
              <w:rPr>
                <w:b/>
                <w:bCs/>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529,385</w:t>
            </w:r>
          </w:p>
        </w:tc>
        <w:tc>
          <w:tcPr>
            <w:tcW w:w="741"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619,975</w:t>
            </w:r>
          </w:p>
        </w:tc>
        <w:tc>
          <w:tcPr>
            <w:tcW w:w="8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611,317</w:t>
            </w:r>
          </w:p>
        </w:tc>
        <w:tc>
          <w:tcPr>
            <w:tcW w:w="7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803,113</w:t>
            </w:r>
          </w:p>
        </w:tc>
        <w:tc>
          <w:tcPr>
            <w:tcW w:w="720" w:type="dxa"/>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805,468</w:t>
            </w:r>
          </w:p>
        </w:tc>
        <w:tc>
          <w:tcPr>
            <w:tcW w:w="73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707,984</w:t>
            </w:r>
          </w:p>
        </w:tc>
        <w:tc>
          <w:tcPr>
            <w:tcW w:w="72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712,903</w:t>
            </w:r>
          </w:p>
        </w:tc>
        <w:tc>
          <w:tcPr>
            <w:tcW w:w="72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730,294</w:t>
            </w:r>
          </w:p>
        </w:tc>
        <w:tc>
          <w:tcPr>
            <w:tcW w:w="780" w:type="dxa"/>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739,775</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100</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3,712</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43,958</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171,572</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176,580</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116,986</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110,405</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133,965</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126,139</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175,944</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142,136</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178,036</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178,036</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155,715</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353,341</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440,218</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453,405</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450,751</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435,182</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446,683</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440,514</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457,820</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296,727</w:t>
            </w:r>
          </w:p>
        </w:tc>
        <w:tc>
          <w:tcPr>
            <w:tcW w:w="741"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117,045</w:t>
            </w:r>
          </w:p>
        </w:tc>
        <w:tc>
          <w:tcPr>
            <w:tcW w:w="8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840</w:t>
            </w:r>
          </w:p>
        </w:tc>
        <w:tc>
          <w:tcPr>
            <w:tcW w:w="71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(19,874)</w:t>
            </w:r>
          </w:p>
        </w:tc>
        <w:tc>
          <w:tcPr>
            <w:tcW w:w="720" w:type="dxa"/>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(75,608)</w:t>
            </w:r>
          </w:p>
        </w:tc>
        <w:tc>
          <w:tcPr>
            <w:tcW w:w="73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(80,210)</w:t>
            </w:r>
          </w:p>
        </w:tc>
        <w:tc>
          <w:tcPr>
            <w:tcW w:w="720"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(105,449)</w:t>
            </w:r>
          </w:p>
        </w:tc>
        <w:tc>
          <w:tcPr>
            <w:tcW w:w="725" w:type="dxa"/>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(116,250)</w:t>
            </w:r>
          </w:p>
        </w:tc>
        <w:tc>
          <w:tcPr>
            <w:tcW w:w="780" w:type="dxa"/>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(106,496)</w:t>
            </w:r>
          </w:p>
        </w:tc>
      </w:tr>
      <w:tr w:rsidR="00884D1B" w:rsidRPr="00FA2FBA" w:rsidTr="00884D1B">
        <w:trPr>
          <w:trHeight w:val="245"/>
        </w:trPr>
        <w:tc>
          <w:tcPr>
            <w:tcW w:w="4100" w:type="dxa"/>
            <w:shd w:val="clear" w:color="auto" w:fill="auto"/>
            <w:noWrap/>
            <w:vAlign w:val="center"/>
            <w:hideMark/>
          </w:tcPr>
          <w:p w:rsidR="00884D1B" w:rsidRPr="00FA2FBA" w:rsidRDefault="00884D1B" w:rsidP="003370AC">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342,370</w:t>
            </w:r>
          </w:p>
        </w:tc>
        <w:tc>
          <w:tcPr>
            <w:tcW w:w="741"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196,916</w:t>
            </w:r>
          </w:p>
        </w:tc>
        <w:tc>
          <w:tcPr>
            <w:tcW w:w="8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180,353</w:t>
            </w:r>
          </w:p>
        </w:tc>
        <w:tc>
          <w:tcPr>
            <w:tcW w:w="71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149,006</w:t>
            </w:r>
          </w:p>
        </w:tc>
        <w:tc>
          <w:tcPr>
            <w:tcW w:w="720" w:type="dxa"/>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155,682</w:t>
            </w:r>
          </w:p>
        </w:tc>
        <w:tc>
          <w:tcPr>
            <w:tcW w:w="73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170,788</w:t>
            </w:r>
          </w:p>
        </w:tc>
        <w:tc>
          <w:tcPr>
            <w:tcW w:w="720"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146,691</w:t>
            </w:r>
          </w:p>
        </w:tc>
        <w:tc>
          <w:tcPr>
            <w:tcW w:w="725" w:type="dxa"/>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147,658</w:t>
            </w:r>
          </w:p>
        </w:tc>
        <w:tc>
          <w:tcPr>
            <w:tcW w:w="780" w:type="dxa"/>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151,136</w:t>
            </w:r>
          </w:p>
        </w:tc>
      </w:tr>
      <w:tr w:rsidR="00884D1B" w:rsidRPr="00FA2FBA" w:rsidTr="00884D1B">
        <w:trPr>
          <w:trHeight w:val="245"/>
        </w:trPr>
        <w:tc>
          <w:tcPr>
            <w:tcW w:w="4100" w:type="dxa"/>
            <w:tcBorders>
              <w:bottom w:val="single" w:sz="12" w:space="0" w:color="auto"/>
            </w:tcBorders>
            <w:shd w:val="clear" w:color="auto" w:fill="auto"/>
            <w:noWrap/>
            <w:vAlign w:val="center"/>
            <w:hideMark/>
          </w:tcPr>
          <w:p w:rsidR="00884D1B" w:rsidRPr="00FA2FBA" w:rsidRDefault="00884D1B" w:rsidP="003370AC">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45,643</w:t>
            </w:r>
          </w:p>
        </w:tc>
        <w:tc>
          <w:tcPr>
            <w:tcW w:w="741"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79,871</w:t>
            </w:r>
          </w:p>
        </w:tc>
        <w:tc>
          <w:tcPr>
            <w:tcW w:w="815"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179,512</w:t>
            </w:r>
          </w:p>
        </w:tc>
        <w:tc>
          <w:tcPr>
            <w:tcW w:w="715"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168,879</w:t>
            </w:r>
          </w:p>
        </w:tc>
        <w:tc>
          <w:tcPr>
            <w:tcW w:w="720" w:type="dxa"/>
            <w:tcBorders>
              <w:bottom w:val="single" w:sz="12" w:space="0" w:color="auto"/>
            </w:tcBorders>
            <w:shd w:val="clear" w:color="auto" w:fill="auto"/>
            <w:tcMar>
              <w:left w:w="43" w:type="dxa"/>
              <w:right w:w="43" w:type="dxa"/>
            </w:tcMar>
            <w:vAlign w:val="center"/>
            <w:hideMark/>
          </w:tcPr>
          <w:p w:rsidR="00884D1B" w:rsidRDefault="00884D1B" w:rsidP="00884D1B">
            <w:pPr>
              <w:jc w:val="right"/>
              <w:rPr>
                <w:i/>
                <w:iCs/>
                <w:sz w:val="14"/>
                <w:szCs w:val="14"/>
              </w:rPr>
            </w:pPr>
            <w:r>
              <w:rPr>
                <w:i/>
                <w:iCs/>
                <w:sz w:val="14"/>
                <w:szCs w:val="14"/>
              </w:rPr>
              <w:t>231,290</w:t>
            </w:r>
          </w:p>
        </w:tc>
        <w:tc>
          <w:tcPr>
            <w:tcW w:w="730"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250,998</w:t>
            </w:r>
          </w:p>
        </w:tc>
        <w:tc>
          <w:tcPr>
            <w:tcW w:w="720"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252,140</w:t>
            </w:r>
          </w:p>
        </w:tc>
        <w:tc>
          <w:tcPr>
            <w:tcW w:w="725" w:type="dxa"/>
            <w:tcBorders>
              <w:bottom w:val="single" w:sz="12" w:space="0" w:color="auto"/>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263,907</w:t>
            </w:r>
          </w:p>
        </w:tc>
        <w:tc>
          <w:tcPr>
            <w:tcW w:w="780" w:type="dxa"/>
            <w:tcBorders>
              <w:bottom w:val="single" w:sz="12" w:space="0" w:color="auto"/>
            </w:tcBorders>
            <w:shd w:val="clear" w:color="auto" w:fill="auto"/>
            <w:noWrap/>
            <w:tcMar>
              <w:left w:w="43" w:type="dxa"/>
              <w:right w:w="43" w:type="dxa"/>
            </w:tcMar>
            <w:vAlign w:val="center"/>
            <w:hideMark/>
          </w:tcPr>
          <w:p w:rsidR="00884D1B" w:rsidRDefault="00884D1B" w:rsidP="00884D1B">
            <w:pPr>
              <w:jc w:val="right"/>
              <w:rPr>
                <w:i/>
                <w:iCs/>
                <w:sz w:val="14"/>
                <w:szCs w:val="14"/>
              </w:rPr>
            </w:pPr>
            <w:r>
              <w:rPr>
                <w:i/>
                <w:iCs/>
                <w:sz w:val="14"/>
                <w:szCs w:val="14"/>
              </w:rPr>
              <w:t>257,632</w:t>
            </w:r>
          </w:p>
        </w:tc>
      </w:tr>
      <w:tr w:rsidR="003370AC" w:rsidRPr="00FA2FBA" w:rsidTr="00DF368E">
        <w:trPr>
          <w:trHeight w:val="268"/>
        </w:trPr>
        <w:tc>
          <w:tcPr>
            <w:tcW w:w="10698" w:type="dxa"/>
            <w:gridSpan w:val="10"/>
            <w:tcBorders>
              <w:top w:val="single" w:sz="12" w:space="0" w:color="auto"/>
            </w:tcBorders>
            <w:shd w:val="clear" w:color="auto" w:fill="auto"/>
            <w:noWrap/>
            <w:vAlign w:val="center"/>
            <w:hideMark/>
          </w:tcPr>
          <w:p w:rsidR="003370AC" w:rsidRPr="00FA2FBA" w:rsidRDefault="003370AC" w:rsidP="003370AC">
            <w:pPr>
              <w:jc w:val="left"/>
              <w:rPr>
                <w:rFonts w:ascii="Calibri" w:hAnsi="Calibri"/>
                <w:sz w:val="22"/>
                <w:szCs w:val="22"/>
              </w:rPr>
            </w:pPr>
            <w:r w:rsidRPr="004F1CC1">
              <w:rPr>
                <w:b/>
                <w:bCs/>
                <w:color w:val="auto"/>
                <w:sz w:val="14"/>
                <w:szCs w:val="14"/>
              </w:rPr>
              <w:t xml:space="preserve">Note :  </w:t>
            </w:r>
          </w:p>
        </w:tc>
      </w:tr>
      <w:tr w:rsidR="003370AC" w:rsidRPr="00FA2FBA" w:rsidTr="009024A8">
        <w:trPr>
          <w:trHeight w:val="423"/>
        </w:trPr>
        <w:tc>
          <w:tcPr>
            <w:tcW w:w="10698" w:type="dxa"/>
            <w:gridSpan w:val="10"/>
            <w:shd w:val="clear" w:color="auto" w:fill="auto"/>
            <w:noWrap/>
            <w:vAlign w:val="center"/>
            <w:hideMark/>
          </w:tcPr>
          <w:p w:rsidR="003370AC" w:rsidRPr="00415E56" w:rsidRDefault="003370AC" w:rsidP="003370AC">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3370AC" w:rsidRPr="00FA2FBA" w:rsidTr="00415E56">
        <w:trPr>
          <w:trHeight w:val="268"/>
        </w:trPr>
        <w:tc>
          <w:tcPr>
            <w:tcW w:w="10698" w:type="dxa"/>
            <w:gridSpan w:val="10"/>
            <w:shd w:val="clear" w:color="auto" w:fill="auto"/>
            <w:noWrap/>
            <w:vAlign w:val="center"/>
            <w:hideMark/>
          </w:tcPr>
          <w:p w:rsidR="003370AC" w:rsidRPr="00415E56" w:rsidRDefault="003370AC" w:rsidP="003370AC">
            <w:pPr>
              <w:jc w:val="left"/>
              <w:rPr>
                <w:color w:val="auto"/>
                <w:sz w:val="14"/>
                <w:szCs w:val="14"/>
              </w:rPr>
            </w:pPr>
            <w:r w:rsidRPr="00415E56">
              <w:rPr>
                <w:color w:val="auto"/>
                <w:sz w:val="14"/>
                <w:szCs w:val="14"/>
              </w:rPr>
              <w:t>2. General Government includes Central and Provincial Governments.</w:t>
            </w:r>
          </w:p>
        </w:tc>
      </w:tr>
      <w:tr w:rsidR="003370AC" w:rsidRPr="00FA2FBA" w:rsidTr="00415E56">
        <w:trPr>
          <w:trHeight w:val="268"/>
        </w:trPr>
        <w:tc>
          <w:tcPr>
            <w:tcW w:w="10698" w:type="dxa"/>
            <w:gridSpan w:val="10"/>
            <w:shd w:val="clear" w:color="auto" w:fill="auto"/>
            <w:noWrap/>
            <w:vAlign w:val="center"/>
            <w:hideMark/>
          </w:tcPr>
          <w:p w:rsidR="003370AC" w:rsidRPr="00415E56" w:rsidRDefault="003370AC" w:rsidP="003370AC">
            <w:pPr>
              <w:jc w:val="left"/>
              <w:rPr>
                <w:color w:val="auto"/>
                <w:sz w:val="14"/>
                <w:szCs w:val="14"/>
              </w:rPr>
            </w:pPr>
            <w:r w:rsidRPr="00415E56">
              <w:rPr>
                <w:color w:val="auto"/>
                <w:sz w:val="14"/>
                <w:szCs w:val="14"/>
              </w:rPr>
              <w:t>3. Provincial Governments includes Local &amp; Provincial Governments.</w:t>
            </w:r>
          </w:p>
        </w:tc>
      </w:tr>
      <w:tr w:rsidR="003370AC" w:rsidRPr="00FA2FBA" w:rsidTr="00415E56">
        <w:trPr>
          <w:trHeight w:val="268"/>
        </w:trPr>
        <w:tc>
          <w:tcPr>
            <w:tcW w:w="10698" w:type="dxa"/>
            <w:gridSpan w:val="10"/>
            <w:shd w:val="clear" w:color="auto" w:fill="auto"/>
            <w:noWrap/>
            <w:vAlign w:val="center"/>
            <w:hideMark/>
          </w:tcPr>
          <w:p w:rsidR="003370AC" w:rsidRPr="00415E56" w:rsidRDefault="003370AC" w:rsidP="003370AC">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3370AC" w:rsidRPr="00FA2FBA" w:rsidTr="00415E56">
        <w:trPr>
          <w:trHeight w:val="268"/>
        </w:trPr>
        <w:tc>
          <w:tcPr>
            <w:tcW w:w="10698" w:type="dxa"/>
            <w:gridSpan w:val="10"/>
            <w:shd w:val="clear" w:color="auto" w:fill="auto"/>
            <w:noWrap/>
            <w:vAlign w:val="center"/>
            <w:hideMark/>
          </w:tcPr>
          <w:p w:rsidR="003370AC" w:rsidRPr="00415E56" w:rsidRDefault="003370AC" w:rsidP="003370AC">
            <w:pPr>
              <w:jc w:val="left"/>
              <w:rPr>
                <w:color w:val="auto"/>
                <w:sz w:val="14"/>
                <w:szCs w:val="14"/>
              </w:rPr>
            </w:pPr>
            <w:r w:rsidRPr="00415E56">
              <w:rPr>
                <w:color w:val="auto"/>
                <w:sz w:val="14"/>
                <w:szCs w:val="14"/>
              </w:rPr>
              <w:t>5. Note Explaining major changes is available at: http://www.sbp.org.pk/departments/stats/ntb.htm</w:t>
            </w:r>
          </w:p>
        </w:tc>
      </w:tr>
      <w:tr w:rsidR="003370AC" w:rsidRPr="00FA2FBA" w:rsidTr="00DF368E">
        <w:trPr>
          <w:trHeight w:val="268"/>
        </w:trPr>
        <w:tc>
          <w:tcPr>
            <w:tcW w:w="10698" w:type="dxa"/>
            <w:gridSpan w:val="10"/>
            <w:shd w:val="clear" w:color="auto" w:fill="auto"/>
            <w:noWrap/>
            <w:vAlign w:val="center"/>
            <w:hideMark/>
          </w:tcPr>
          <w:p w:rsidR="003370AC" w:rsidRPr="00CE511E" w:rsidRDefault="003370AC" w:rsidP="003370AC">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D37119" w:rsidRPr="008245E8" w:rsidTr="003370A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D37119" w:rsidRPr="008245E8" w:rsidRDefault="00D37119" w:rsidP="00FB5CDC">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Pr>
                <w:b/>
                <w:bCs/>
                <w:color w:val="auto"/>
                <w:szCs w:val="16"/>
              </w:rPr>
              <w:t>FY15</w:t>
            </w:r>
          </w:p>
        </w:tc>
        <w:tc>
          <w:tcPr>
            <w:tcW w:w="741" w:type="dxa"/>
            <w:vMerge w:val="restart"/>
            <w:tcBorders>
              <w:top w:val="nil"/>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sidRPr="009311D7">
              <w:rPr>
                <w:b/>
                <w:bCs/>
                <w:color w:val="auto"/>
                <w:szCs w:val="16"/>
              </w:rPr>
              <w:t>FY16</w:t>
            </w:r>
          </w:p>
        </w:tc>
        <w:tc>
          <w:tcPr>
            <w:tcW w:w="742" w:type="dxa"/>
            <w:vMerge w:val="restart"/>
            <w:tcBorders>
              <w:top w:val="nil"/>
              <w:left w:val="single" w:sz="4" w:space="0" w:color="auto"/>
              <w:right w:val="single" w:sz="4" w:space="0" w:color="auto"/>
            </w:tcBorders>
            <w:shd w:val="clear" w:color="auto" w:fill="auto"/>
            <w:vAlign w:val="center"/>
          </w:tcPr>
          <w:p w:rsidR="00D37119" w:rsidRPr="008245E8" w:rsidRDefault="00D37119" w:rsidP="009311D7">
            <w:pPr>
              <w:jc w:val="right"/>
              <w:rPr>
                <w:b/>
                <w:bCs/>
                <w:color w:val="auto"/>
                <w:szCs w:val="16"/>
              </w:rPr>
            </w:pPr>
            <w:r w:rsidRPr="009311D7">
              <w:rPr>
                <w:b/>
                <w:bCs/>
                <w:color w:val="auto"/>
                <w:szCs w:val="16"/>
              </w:rPr>
              <w:t>FY17</w:t>
            </w:r>
          </w:p>
        </w:tc>
        <w:tc>
          <w:tcPr>
            <w:tcW w:w="2163" w:type="dxa"/>
            <w:gridSpan w:val="3"/>
            <w:tcBorders>
              <w:top w:val="nil"/>
              <w:left w:val="single" w:sz="4" w:space="0" w:color="auto"/>
              <w:bottom w:val="single" w:sz="4" w:space="0" w:color="auto"/>
              <w:right w:val="single" w:sz="4" w:space="0" w:color="auto"/>
            </w:tcBorders>
            <w:shd w:val="clear" w:color="auto" w:fill="auto"/>
            <w:vAlign w:val="center"/>
          </w:tcPr>
          <w:p w:rsidR="00D37119" w:rsidRPr="008245E8" w:rsidRDefault="00D37119" w:rsidP="00FB5CDC">
            <w:pPr>
              <w:rPr>
                <w:b/>
                <w:bCs/>
                <w:color w:val="auto"/>
                <w:szCs w:val="16"/>
              </w:rPr>
            </w:pPr>
            <w:r>
              <w:rPr>
                <w:b/>
                <w:bCs/>
                <w:color w:val="auto"/>
                <w:szCs w:val="16"/>
              </w:rPr>
              <w:t>2017</w:t>
            </w:r>
          </w:p>
        </w:tc>
        <w:tc>
          <w:tcPr>
            <w:tcW w:w="2132" w:type="dxa"/>
            <w:gridSpan w:val="3"/>
            <w:tcBorders>
              <w:top w:val="single" w:sz="12" w:space="0" w:color="auto"/>
              <w:left w:val="single" w:sz="4" w:space="0" w:color="auto"/>
              <w:bottom w:val="single" w:sz="4" w:space="0" w:color="auto"/>
              <w:right w:val="nil"/>
            </w:tcBorders>
            <w:shd w:val="clear" w:color="auto" w:fill="auto"/>
            <w:vAlign w:val="center"/>
          </w:tcPr>
          <w:p w:rsidR="00D37119" w:rsidRPr="008245E8" w:rsidRDefault="00D37119" w:rsidP="00FB5CDC">
            <w:pPr>
              <w:rPr>
                <w:b/>
                <w:bCs/>
                <w:color w:val="auto"/>
                <w:szCs w:val="16"/>
              </w:rPr>
            </w:pPr>
            <w:r>
              <w:rPr>
                <w:b/>
                <w:bCs/>
                <w:color w:val="auto"/>
                <w:szCs w:val="16"/>
              </w:rPr>
              <w:t>2018</w:t>
            </w:r>
          </w:p>
        </w:tc>
      </w:tr>
      <w:tr w:rsidR="003370AC" w:rsidRPr="008245E8" w:rsidTr="003370A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3370AC" w:rsidRPr="008245E8" w:rsidRDefault="003370AC" w:rsidP="003370AC">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Mar</w:t>
            </w:r>
          </w:p>
        </w:tc>
        <w:tc>
          <w:tcPr>
            <w:tcW w:w="7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Dec</w:t>
            </w:r>
          </w:p>
        </w:tc>
        <w:tc>
          <w:tcPr>
            <w:tcW w:w="70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Jan</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203,642</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138,605</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(5,711)</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(19,104)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(20,343)</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(83,901)</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(52,682)</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(76,453)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(101,537)</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463,030</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463,559</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505,554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414,056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402,365</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474,950</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467,389</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458,334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475,917</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25,233</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27,637</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29,434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29,665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30,259</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36,774</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33,356</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32,243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36,016</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133,824</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119,909</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159,099</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88,620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78,823</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105,640</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104,720</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104,327</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104,360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126,223</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135,019</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126,665</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120,463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117,842</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150,179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140,643</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139,546</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147,024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16,489</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10,437</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17,727</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4,087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2,337</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1,709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1,737</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1,726</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2,970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595</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536</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805</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383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493</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1,849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2,681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705</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1,992</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159,297</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168,398</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169,719</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168,801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170,788</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175,455</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181,531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177,099</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180,836</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1,367</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1,623</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2,104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2,036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1,822</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3,344</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2,720</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2,688</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2,720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259,388</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324,953</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511,265</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433,159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422,709</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558,851</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520,071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534,787</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577,454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98,796</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116,747</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131,865</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121,604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125,947</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140,569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136,585</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138,171</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145,839</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154,618</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197,478</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369,598</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298,847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283,599</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406,520</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371,854</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383,366</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416,971</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385</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1,213</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292</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538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615</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1,458</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1,322</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966</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1,897</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5,587</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9,514</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9,510</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12,169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12,547</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10,304</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10,310</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12,284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12,747</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754,888</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650,069</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947,849</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789,614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782,421</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951,464</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949,034</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968,875</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1,025,373</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160,264</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231,744</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268,288</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193,995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198,759</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205,652</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210,530</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217,368</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201,460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408,060</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379,519</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656,394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571,504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582,228</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726,223</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720,567</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736,555</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730,254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186,564</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38,806</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23,167</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24,115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1,435</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19,589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17,936</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14,953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93,659</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5,391,173</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6,733,768</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6,895,270</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6,232,508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6,395,033</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7,135,336</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6,163,491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6,710,294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5,319,191</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5,461,438</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6,861,665</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7,132,523</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6,543,820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6,728,868</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7,437,696</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6,475,042</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7,013,203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5,646,067</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6,026,222</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7,585,682</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8,026,138</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7,326,289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7,520,412</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8,375,768</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7,504,780</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8,040,847</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6,674,141</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5,794,277</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7,326,110</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7,801,618</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7,112,809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7,315,233</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8,145,210</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7,284,098</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7,826,793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6,463,412</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231,946</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259,572</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224,520</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213,480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205,180</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230,558</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220,681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214,054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210,729</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782,469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791,544</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938,072</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1,029,738</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1,027,644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1,028,074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782,469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791,544</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938,072</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1,029,738</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1,027,644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1,028,074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(70,265)</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(127,897)</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(237,253)</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(311,312)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(333,835)</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(302,360)</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(311,551)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(302,909)</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(326,876)</w:t>
            </w:r>
          </w:p>
        </w:tc>
      </w:tr>
      <w:tr w:rsidR="00884D1B" w:rsidRPr="008245E8" w:rsidTr="00884D1B">
        <w:trPr>
          <w:trHeight w:val="363"/>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315,010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314,324</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459,135</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448,175</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443,698</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433,104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315,010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314,324</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459,135</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448,175</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443,698</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433,104</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433,767</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528,608</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720,584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626,322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648,159</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761,495</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759,727</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746,607</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759,980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431,767</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526,608</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715,991</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621,769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643,580</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756,992</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755,197</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742,054</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755,400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2,000</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4,593</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4,554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4,579</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4,503</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4,529</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4,553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4,580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4,733,314</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5,250,999</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6,251,044</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5,730,677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5,932,887</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6,589,829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6,683,630</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6,793,420</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6,948,680</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105,001</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108,110</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98,726</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119,456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126,598</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91,724</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97,135</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103,993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102,962</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633,399</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765,410</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1,025,871</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850,142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953,087</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1,072,219</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1,110,474</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1,134,323</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1,195,211</w:t>
            </w:r>
          </w:p>
        </w:tc>
      </w:tr>
      <w:tr w:rsidR="00884D1B" w:rsidRPr="008245E8" w:rsidTr="00884D1B">
        <w:trPr>
          <w:trHeight w:val="245"/>
        </w:trPr>
        <w:tc>
          <w:tcPr>
            <w:tcW w:w="2930" w:type="dxa"/>
            <w:tcBorders>
              <w:top w:val="nil"/>
              <w:left w:val="nil"/>
              <w:bottom w:val="nil"/>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3,197,258</w:t>
            </w:r>
          </w:p>
        </w:tc>
        <w:tc>
          <w:tcPr>
            <w:tcW w:w="74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3,472,281</w:t>
            </w:r>
          </w:p>
        </w:tc>
        <w:tc>
          <w:tcPr>
            <w:tcW w:w="74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4,059,627</w:t>
            </w:r>
          </w:p>
        </w:tc>
        <w:tc>
          <w:tcPr>
            <w:tcW w:w="727"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3,764,094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3,839,231</w:t>
            </w:r>
          </w:p>
        </w:tc>
        <w:tc>
          <w:tcPr>
            <w:tcW w:w="71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4,265,538</w:t>
            </w:r>
          </w:p>
        </w:tc>
        <w:tc>
          <w:tcPr>
            <w:tcW w:w="701"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4,301,361</w:t>
            </w:r>
          </w:p>
        </w:tc>
        <w:tc>
          <w:tcPr>
            <w:tcW w:w="646"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4,373,065</w:t>
            </w:r>
          </w:p>
        </w:tc>
        <w:tc>
          <w:tcPr>
            <w:tcW w:w="785"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4,450,537</w:t>
            </w:r>
          </w:p>
        </w:tc>
      </w:tr>
      <w:tr w:rsidR="00884D1B" w:rsidRPr="008245E8" w:rsidTr="00884D1B">
        <w:trPr>
          <w:trHeight w:val="245"/>
        </w:trPr>
        <w:tc>
          <w:tcPr>
            <w:tcW w:w="2930" w:type="dxa"/>
            <w:tcBorders>
              <w:top w:val="nil"/>
              <w:left w:val="nil"/>
              <w:bottom w:val="single" w:sz="12" w:space="0" w:color="auto"/>
              <w:right w:val="nil"/>
            </w:tcBorders>
            <w:shd w:val="clear" w:color="auto" w:fill="auto"/>
            <w:noWrap/>
            <w:vAlign w:val="center"/>
            <w:hideMark/>
          </w:tcPr>
          <w:p w:rsidR="00884D1B" w:rsidRPr="008245E8" w:rsidRDefault="00884D1B" w:rsidP="003370AC">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797,657</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905,198</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1,066,820</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996,985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1,013,971</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1,160,348</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1,174,660</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1,182,040</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1,199,970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D37119" w:rsidRPr="00E5171C" w:rsidTr="003370A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37119" w:rsidRPr="00E5171C" w:rsidRDefault="00D37119" w:rsidP="006146BD">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FY15</w:t>
            </w:r>
          </w:p>
        </w:tc>
        <w:tc>
          <w:tcPr>
            <w:tcW w:w="810" w:type="dxa"/>
            <w:vMerge w:val="restart"/>
            <w:tcBorders>
              <w:top w:val="nil"/>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tcPr>
          <w:p w:rsidR="00D37119" w:rsidRPr="00E5171C" w:rsidRDefault="00D37119" w:rsidP="009311D7">
            <w:pPr>
              <w:jc w:val="right"/>
              <w:rPr>
                <w:b/>
                <w:bCs/>
                <w:color w:val="auto"/>
                <w:szCs w:val="16"/>
              </w:rPr>
            </w:pPr>
            <w:r w:rsidRPr="009311D7">
              <w:rPr>
                <w:b/>
                <w:bCs/>
                <w:color w:val="auto"/>
                <w:szCs w:val="16"/>
              </w:rPr>
              <w:t>FY17</w:t>
            </w:r>
          </w:p>
        </w:tc>
        <w:tc>
          <w:tcPr>
            <w:tcW w:w="2250" w:type="dxa"/>
            <w:gridSpan w:val="3"/>
            <w:tcBorders>
              <w:top w:val="nil"/>
              <w:left w:val="single" w:sz="4" w:space="0" w:color="auto"/>
              <w:bottom w:val="single" w:sz="4" w:space="0" w:color="auto"/>
              <w:right w:val="single" w:sz="4" w:space="0" w:color="auto"/>
            </w:tcBorders>
            <w:shd w:val="clear" w:color="auto" w:fill="auto"/>
            <w:vAlign w:val="center"/>
          </w:tcPr>
          <w:p w:rsidR="00D37119" w:rsidRPr="00E5171C" w:rsidRDefault="00D37119" w:rsidP="006146BD">
            <w:pPr>
              <w:rPr>
                <w:b/>
                <w:bCs/>
                <w:color w:val="auto"/>
                <w:szCs w:val="16"/>
              </w:rPr>
            </w:pPr>
            <w:r>
              <w:rPr>
                <w:b/>
                <w:bCs/>
                <w:color w:val="auto"/>
                <w:szCs w:val="16"/>
              </w:rPr>
              <w:t>2017</w:t>
            </w:r>
          </w:p>
        </w:tc>
        <w:tc>
          <w:tcPr>
            <w:tcW w:w="2232" w:type="dxa"/>
            <w:gridSpan w:val="3"/>
            <w:tcBorders>
              <w:top w:val="single" w:sz="12" w:space="0" w:color="auto"/>
              <w:left w:val="single" w:sz="4" w:space="0" w:color="auto"/>
              <w:bottom w:val="single" w:sz="4" w:space="0" w:color="auto"/>
              <w:right w:val="nil"/>
            </w:tcBorders>
            <w:shd w:val="clear" w:color="auto" w:fill="auto"/>
            <w:vAlign w:val="center"/>
          </w:tcPr>
          <w:p w:rsidR="00D37119" w:rsidRPr="00E5171C" w:rsidRDefault="00D37119" w:rsidP="006146BD">
            <w:pPr>
              <w:rPr>
                <w:b/>
                <w:bCs/>
                <w:color w:val="auto"/>
                <w:szCs w:val="16"/>
              </w:rPr>
            </w:pPr>
            <w:r>
              <w:rPr>
                <w:b/>
                <w:bCs/>
                <w:color w:val="auto"/>
                <w:szCs w:val="16"/>
              </w:rPr>
              <w:t>2018</w:t>
            </w:r>
          </w:p>
        </w:tc>
      </w:tr>
      <w:tr w:rsidR="003370AC" w:rsidRPr="00E5171C" w:rsidTr="003370A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370AC" w:rsidRPr="00E5171C" w:rsidRDefault="003370AC" w:rsidP="003370AC">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1,321,945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1,524,573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2,131,259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1,383,940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1,957,190</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515,296</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9,657,492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9,854,027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10,812,163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10,629,591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10,764,601</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11,002,196</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7,381,097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7,501,906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8,156,395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8,087,101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8,194,221</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8,365,064</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182,383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192,370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242,845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213,669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205,178</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250,363</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326,509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316,580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277,999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303,139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287,552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302,186</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2,164,287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2,180,395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2,382,076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2,332,985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2,393,032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2,406,126</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4,707,918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4,812,560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5,253,474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5,237,308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5,308,459</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5,406,390</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2,276,395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2,352,122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2,655,768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2,542,490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2,570,380</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2,637,132</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71,114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77,413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89,235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83,384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83,155</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88,302</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354,844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343,700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446,815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426,840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424,959</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434,258</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743,925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751,526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887,948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784,510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790,630</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832,663</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1,106,512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1,179,483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1,231,769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1,247,756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1,271,636</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1,281,908</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16</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12</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3</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13,609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13,934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17,979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18,070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18,202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17,910</w:t>
            </w:r>
          </w:p>
        </w:tc>
      </w:tr>
      <w:tr w:rsidR="00884D1B" w:rsidRPr="00E5171C" w:rsidTr="00884D1B">
        <w:trPr>
          <w:trHeight w:val="245"/>
        </w:trPr>
        <w:tc>
          <w:tcPr>
            <w:tcW w:w="3076" w:type="dxa"/>
            <w:tcBorders>
              <w:top w:val="nil"/>
              <w:left w:val="nil"/>
              <w:bottom w:val="nil"/>
              <w:right w:val="nil"/>
            </w:tcBorders>
            <w:shd w:val="clear" w:color="auto" w:fill="auto"/>
            <w:vAlign w:val="center"/>
            <w:hideMark/>
          </w:tcPr>
          <w:p w:rsidR="00884D1B" w:rsidRPr="00E5171C" w:rsidRDefault="00884D1B" w:rsidP="003370AC">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9,052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i/>
                <w:iCs/>
                <w:sz w:val="14"/>
                <w:szCs w:val="14"/>
              </w:rPr>
            </w:pPr>
            <w:r>
              <w:rPr>
                <w:i/>
                <w:iCs/>
                <w:sz w:val="14"/>
                <w:szCs w:val="14"/>
              </w:rPr>
              <w:t>9,529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12,287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12,327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12,342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i/>
                <w:iCs/>
                <w:sz w:val="14"/>
                <w:szCs w:val="14"/>
              </w:rPr>
            </w:pPr>
            <w:r>
              <w:rPr>
                <w:i/>
                <w:iCs/>
                <w:sz w:val="14"/>
                <w:szCs w:val="14"/>
              </w:rPr>
              <w:t>12,271</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15,538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15,243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12,127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12,883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14,770</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16,369</w:t>
            </w:r>
          </w:p>
        </w:tc>
      </w:tr>
      <w:tr w:rsidR="00884D1B" w:rsidRPr="00E5171C" w:rsidTr="00884D1B">
        <w:trPr>
          <w:trHeight w:val="245"/>
        </w:trPr>
        <w:tc>
          <w:tcPr>
            <w:tcW w:w="3076" w:type="dxa"/>
            <w:tcBorders>
              <w:top w:val="nil"/>
              <w:left w:val="nil"/>
              <w:bottom w:val="nil"/>
              <w:right w:val="nil"/>
            </w:tcBorders>
            <w:shd w:val="clear" w:color="auto" w:fill="auto"/>
            <w:vAlign w:val="center"/>
            <w:hideMark/>
          </w:tcPr>
          <w:p w:rsidR="00884D1B" w:rsidRPr="00E5171C" w:rsidRDefault="00884D1B" w:rsidP="003370A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5,705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i/>
                <w:iCs/>
                <w:sz w:val="14"/>
                <w:szCs w:val="14"/>
              </w:rPr>
            </w:pPr>
            <w:r>
              <w:rPr>
                <w:i/>
                <w:iCs/>
                <w:sz w:val="14"/>
                <w:szCs w:val="14"/>
              </w:rPr>
              <w:t>5,410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2,652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3,368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5,255</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i/>
                <w:iCs/>
                <w:sz w:val="14"/>
                <w:szCs w:val="14"/>
              </w:rPr>
            </w:pPr>
            <w:r>
              <w:rPr>
                <w:i/>
                <w:iCs/>
                <w:sz w:val="14"/>
                <w:szCs w:val="14"/>
              </w:rPr>
              <w:t>6,854</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1,507</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1,177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1,486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1,161</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1,834</w:t>
            </w:r>
          </w:p>
        </w:tc>
      </w:tr>
      <w:tr w:rsidR="00884D1B" w:rsidRPr="00E5171C" w:rsidTr="00884D1B">
        <w:trPr>
          <w:trHeight w:val="245"/>
        </w:trPr>
        <w:tc>
          <w:tcPr>
            <w:tcW w:w="3076" w:type="dxa"/>
            <w:tcBorders>
              <w:top w:val="nil"/>
              <w:left w:val="nil"/>
              <w:bottom w:val="nil"/>
              <w:right w:val="nil"/>
            </w:tcBorders>
            <w:shd w:val="clear" w:color="auto" w:fill="auto"/>
            <w:vAlign w:val="center"/>
            <w:hideMark/>
          </w:tcPr>
          <w:p w:rsidR="00884D1B" w:rsidRPr="00E5171C" w:rsidRDefault="00884D1B" w:rsidP="003370A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i/>
                <w:iCs/>
                <w:sz w:val="14"/>
                <w:szCs w:val="14"/>
              </w:rPr>
            </w:pPr>
            <w:r>
              <w:rPr>
                <w:i/>
                <w:iCs/>
                <w:sz w:val="14"/>
                <w:szCs w:val="14"/>
              </w:rPr>
              <w:t>-</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114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342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130</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154</w:t>
            </w:r>
          </w:p>
        </w:tc>
      </w:tr>
      <w:tr w:rsidR="00884D1B" w:rsidRPr="00E5171C" w:rsidTr="00884D1B">
        <w:trPr>
          <w:trHeight w:val="245"/>
        </w:trPr>
        <w:tc>
          <w:tcPr>
            <w:tcW w:w="3076" w:type="dxa"/>
            <w:tcBorders>
              <w:top w:val="nil"/>
              <w:left w:val="nil"/>
              <w:bottom w:val="nil"/>
              <w:right w:val="nil"/>
            </w:tcBorders>
            <w:shd w:val="clear" w:color="auto" w:fill="auto"/>
            <w:vAlign w:val="center"/>
            <w:hideMark/>
          </w:tcPr>
          <w:p w:rsidR="00884D1B" w:rsidRPr="00E5171C" w:rsidRDefault="00884D1B" w:rsidP="003370A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1,664,302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1,612,408</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1,654,541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1,699,854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1,692,706</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1,663,652</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632,275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646,005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601,486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603,319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599,995</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606,194</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402,019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360,002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462,359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465,785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468,932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419,202</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346,379</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335,385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337,224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359,904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362,378</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378,630</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283,630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sz w:val="14"/>
                <w:szCs w:val="14"/>
              </w:rPr>
            </w:pPr>
            <w:r>
              <w:rPr>
                <w:sz w:val="14"/>
                <w:szCs w:val="14"/>
              </w:rPr>
              <w:t>271,015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253,471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270,846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sz w:val="14"/>
                <w:szCs w:val="14"/>
              </w:rPr>
            </w:pPr>
            <w:r>
              <w:rPr>
                <w:sz w:val="14"/>
                <w:szCs w:val="14"/>
              </w:rPr>
              <w:t>261,402</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sz w:val="14"/>
                <w:szCs w:val="14"/>
              </w:rPr>
            </w:pPr>
            <w:r>
              <w:rPr>
                <w:sz w:val="14"/>
                <w:szCs w:val="14"/>
              </w:rPr>
              <w:t>259,626</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59,403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68,740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(36,496)</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(1,884)</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(52,379)</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(25,411)</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1,251,093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1,276,530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1,335,189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1,373,777</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1,367,566</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1,427,392</w:t>
            </w:r>
          </w:p>
        </w:tc>
      </w:tr>
      <w:tr w:rsidR="00884D1B" w:rsidRPr="00E5171C" w:rsidTr="00884D1B">
        <w:trPr>
          <w:trHeight w:val="245"/>
        </w:trPr>
        <w:tc>
          <w:tcPr>
            <w:tcW w:w="3076" w:type="dxa"/>
            <w:tcBorders>
              <w:top w:val="nil"/>
              <w:left w:val="nil"/>
              <w:bottom w:val="nil"/>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1,225,555</w:t>
            </w:r>
          </w:p>
        </w:tc>
        <w:tc>
          <w:tcPr>
            <w:tcW w:w="810" w:type="dxa"/>
            <w:tcBorders>
              <w:top w:val="nil"/>
              <w:left w:val="nil"/>
              <w:bottom w:val="nil"/>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1,235,341</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1,339,110</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1,329,915</w:t>
            </w:r>
          </w:p>
        </w:tc>
        <w:tc>
          <w:tcPr>
            <w:tcW w:w="720" w:type="dxa"/>
            <w:tcBorders>
              <w:top w:val="nil"/>
              <w:left w:val="nil"/>
              <w:bottom w:val="nil"/>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1,361,030</w:t>
            </w:r>
          </w:p>
        </w:tc>
        <w:tc>
          <w:tcPr>
            <w:tcW w:w="792" w:type="dxa"/>
            <w:tcBorders>
              <w:top w:val="nil"/>
              <w:left w:val="nil"/>
              <w:bottom w:val="nil"/>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1,383,817</w:t>
            </w:r>
          </w:p>
        </w:tc>
      </w:tr>
      <w:tr w:rsidR="00884D1B" w:rsidRPr="00E5171C" w:rsidTr="00884D1B">
        <w:trPr>
          <w:trHeight w:val="245"/>
        </w:trPr>
        <w:tc>
          <w:tcPr>
            <w:tcW w:w="3076" w:type="dxa"/>
            <w:tcBorders>
              <w:top w:val="nil"/>
              <w:left w:val="nil"/>
              <w:bottom w:val="single" w:sz="12" w:space="0" w:color="auto"/>
              <w:right w:val="nil"/>
            </w:tcBorders>
            <w:shd w:val="clear" w:color="auto" w:fill="auto"/>
            <w:noWrap/>
            <w:vAlign w:val="center"/>
            <w:hideMark/>
          </w:tcPr>
          <w:p w:rsidR="00884D1B" w:rsidRPr="00E5171C" w:rsidRDefault="00884D1B" w:rsidP="003370AC">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33,865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884D1B">
            <w:pPr>
              <w:jc w:val="right"/>
              <w:rPr>
                <w:b/>
                <w:bCs/>
                <w:sz w:val="14"/>
                <w:szCs w:val="14"/>
              </w:rPr>
            </w:pPr>
            <w:r>
              <w:rPr>
                <w:b/>
                <w:bCs/>
                <w:sz w:val="14"/>
                <w:szCs w:val="14"/>
              </w:rPr>
              <w:t>27,551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(32,575)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(45,746)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4D1B" w:rsidRDefault="00884D1B" w:rsidP="003370AC">
            <w:pPr>
              <w:jc w:val="right"/>
              <w:rPr>
                <w:b/>
                <w:bCs/>
                <w:sz w:val="14"/>
                <w:szCs w:val="14"/>
              </w:rPr>
            </w:pPr>
            <w:r>
              <w:rPr>
                <w:b/>
                <w:bCs/>
                <w:sz w:val="14"/>
                <w:szCs w:val="14"/>
              </w:rPr>
              <w:t>(58,914)</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884D1B" w:rsidRDefault="00884D1B" w:rsidP="00884D1B">
            <w:pPr>
              <w:jc w:val="right"/>
              <w:rPr>
                <w:b/>
                <w:bCs/>
                <w:sz w:val="14"/>
                <w:szCs w:val="14"/>
              </w:rPr>
            </w:pPr>
            <w:r>
              <w:rPr>
                <w:b/>
                <w:bCs/>
                <w:sz w:val="14"/>
                <w:szCs w:val="14"/>
              </w:rPr>
              <w:t>(68,987)</w:t>
            </w:r>
          </w:p>
        </w:tc>
      </w:tr>
      <w:tr w:rsidR="003370AC"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3370AC" w:rsidRPr="00E5171C" w:rsidRDefault="003370AC" w:rsidP="003370AC">
            <w:pPr>
              <w:jc w:val="left"/>
              <w:rPr>
                <w:rFonts w:ascii="Calibri" w:hAnsi="Calibri"/>
                <w:sz w:val="22"/>
                <w:szCs w:val="22"/>
              </w:rPr>
            </w:pPr>
            <w:r w:rsidRPr="00E5171C">
              <w:rPr>
                <w:b/>
                <w:bCs/>
                <w:color w:val="auto"/>
                <w:szCs w:val="16"/>
              </w:rPr>
              <w:t xml:space="preserve">Note:  </w:t>
            </w:r>
          </w:p>
        </w:tc>
      </w:tr>
      <w:tr w:rsidR="003370AC"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3370AC" w:rsidRPr="008D7277" w:rsidRDefault="003370AC" w:rsidP="003370AC">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3370A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370AC" w:rsidRPr="00E5171C" w:rsidRDefault="003370AC" w:rsidP="003370AC">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3370A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370AC" w:rsidRPr="00E5171C" w:rsidRDefault="003370AC" w:rsidP="003370AC">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3370A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370AC" w:rsidRPr="00E5171C" w:rsidRDefault="003370AC" w:rsidP="003370AC">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3370A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3370AC" w:rsidRPr="00E5171C" w:rsidRDefault="003370AC" w:rsidP="003370AC">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3370AC" w:rsidRPr="00E5171C" w:rsidTr="00CE511E">
        <w:trPr>
          <w:trHeight w:val="245"/>
        </w:trPr>
        <w:tc>
          <w:tcPr>
            <w:tcW w:w="9990" w:type="dxa"/>
            <w:gridSpan w:val="10"/>
            <w:tcBorders>
              <w:top w:val="nil"/>
              <w:left w:val="nil"/>
              <w:bottom w:val="nil"/>
              <w:right w:val="nil"/>
            </w:tcBorders>
            <w:shd w:val="clear" w:color="auto" w:fill="auto"/>
            <w:vAlign w:val="center"/>
            <w:hideMark/>
          </w:tcPr>
          <w:p w:rsidR="003370AC" w:rsidRPr="00E5171C" w:rsidRDefault="00272445" w:rsidP="003370AC">
            <w:pPr>
              <w:ind w:left="270"/>
              <w:jc w:val="left"/>
              <w:rPr>
                <w:rFonts w:ascii="Calibri" w:hAnsi="Calibri"/>
                <w:sz w:val="22"/>
                <w:szCs w:val="22"/>
              </w:rPr>
            </w:pPr>
            <w:hyperlink w:history="1">
              <w:r w:rsidR="003370AC"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3370AC" w:rsidRPr="00E5171C" w:rsidTr="00CE511E">
        <w:trPr>
          <w:trHeight w:val="245"/>
        </w:trPr>
        <w:tc>
          <w:tcPr>
            <w:tcW w:w="9990" w:type="dxa"/>
            <w:gridSpan w:val="10"/>
            <w:tcBorders>
              <w:top w:val="nil"/>
              <w:left w:val="nil"/>
              <w:bottom w:val="nil"/>
              <w:right w:val="nil"/>
            </w:tcBorders>
            <w:shd w:val="clear" w:color="auto" w:fill="auto"/>
            <w:vAlign w:val="center"/>
            <w:hideMark/>
          </w:tcPr>
          <w:p w:rsidR="003370AC" w:rsidRDefault="003370AC" w:rsidP="003370AC">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903"/>
        <w:gridCol w:w="810"/>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D37119" w:rsidRPr="002D5FD9" w:rsidTr="003370A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D37119" w:rsidRPr="002D5FD9" w:rsidRDefault="00D37119"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Pr>
                <w:b/>
                <w:bCs/>
                <w:szCs w:val="16"/>
              </w:rPr>
              <w:t>FY15</w:t>
            </w:r>
          </w:p>
        </w:tc>
        <w:tc>
          <w:tcPr>
            <w:tcW w:w="813" w:type="dxa"/>
            <w:vMerge w:val="restart"/>
            <w:tcBorders>
              <w:top w:val="nil"/>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tcPr>
          <w:p w:rsidR="00D37119" w:rsidRPr="002D5FD9" w:rsidRDefault="00D37119" w:rsidP="004E2C7C">
            <w:pPr>
              <w:jc w:val="right"/>
              <w:rPr>
                <w:b/>
                <w:bCs/>
                <w:szCs w:val="16"/>
              </w:rPr>
            </w:pPr>
            <w:r w:rsidRPr="00D304D4">
              <w:rPr>
                <w:b/>
                <w:bCs/>
                <w:szCs w:val="16"/>
              </w:rPr>
              <w:t>FY17</w:t>
            </w:r>
          </w:p>
        </w:tc>
        <w:tc>
          <w:tcPr>
            <w:tcW w:w="2613" w:type="dxa"/>
            <w:gridSpan w:val="3"/>
            <w:tcBorders>
              <w:top w:val="nil"/>
              <w:left w:val="single" w:sz="4" w:space="0" w:color="auto"/>
              <w:bottom w:val="single" w:sz="4" w:space="0" w:color="auto"/>
              <w:right w:val="single" w:sz="4" w:space="0" w:color="auto"/>
            </w:tcBorders>
            <w:shd w:val="clear" w:color="auto" w:fill="auto"/>
            <w:vAlign w:val="center"/>
          </w:tcPr>
          <w:p w:rsidR="00D37119" w:rsidRPr="002D5FD9" w:rsidRDefault="00D37119" w:rsidP="00C7271D">
            <w:pPr>
              <w:rPr>
                <w:b/>
                <w:bCs/>
                <w:szCs w:val="16"/>
              </w:rPr>
            </w:pPr>
            <w:r>
              <w:rPr>
                <w:b/>
                <w:bCs/>
                <w:szCs w:val="16"/>
              </w:rPr>
              <w:t>2017</w:t>
            </w:r>
          </w:p>
        </w:tc>
        <w:tc>
          <w:tcPr>
            <w:tcW w:w="2415" w:type="dxa"/>
            <w:gridSpan w:val="3"/>
            <w:tcBorders>
              <w:top w:val="single" w:sz="12" w:space="0" w:color="auto"/>
              <w:left w:val="single" w:sz="4" w:space="0" w:color="auto"/>
              <w:bottom w:val="single" w:sz="4" w:space="0" w:color="auto"/>
              <w:right w:val="nil"/>
            </w:tcBorders>
            <w:shd w:val="clear" w:color="auto" w:fill="auto"/>
            <w:vAlign w:val="center"/>
          </w:tcPr>
          <w:p w:rsidR="00D37119" w:rsidRPr="002D5FD9" w:rsidRDefault="00D37119" w:rsidP="00C7271D">
            <w:pPr>
              <w:rPr>
                <w:b/>
                <w:bCs/>
                <w:szCs w:val="16"/>
              </w:rPr>
            </w:pPr>
            <w:r>
              <w:rPr>
                <w:b/>
                <w:bCs/>
                <w:szCs w:val="16"/>
              </w:rPr>
              <w:t>2018</w:t>
            </w:r>
          </w:p>
        </w:tc>
      </w:tr>
      <w:tr w:rsidR="003370AC" w:rsidRPr="00414936" w:rsidTr="003370A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3370AC" w:rsidRPr="002D5FD9" w:rsidRDefault="003370AC" w:rsidP="003370AC">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3370AC" w:rsidRPr="006619BF" w:rsidRDefault="003370AC" w:rsidP="003370AC">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3370AC" w:rsidRPr="006619BF" w:rsidRDefault="003370AC" w:rsidP="003370AC">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3370AC" w:rsidRPr="006619BF" w:rsidRDefault="003370AC" w:rsidP="003370AC">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3370AC" w:rsidRPr="006619BF" w:rsidRDefault="003370AC" w:rsidP="003370AC">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vAlign w:val="center"/>
            <w:hideMark/>
          </w:tcPr>
          <w:p w:rsidR="003370AC" w:rsidRPr="006619BF" w:rsidRDefault="003370AC" w:rsidP="003370AC">
            <w:pPr>
              <w:jc w:val="right"/>
              <w:rPr>
                <w:b/>
                <w:color w:val="auto"/>
                <w:sz w:val="14"/>
                <w:szCs w:val="14"/>
              </w:rPr>
            </w:pPr>
            <w:r>
              <w:rPr>
                <w:b/>
                <w:color w:val="auto"/>
                <w:sz w:val="14"/>
                <w:szCs w:val="14"/>
              </w:rPr>
              <w:t>Mar</w:t>
            </w:r>
          </w:p>
        </w:tc>
        <w:tc>
          <w:tcPr>
            <w:tcW w:w="90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370AC" w:rsidRPr="006619BF" w:rsidRDefault="003370AC" w:rsidP="003370AC">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3370AC" w:rsidRPr="006619BF" w:rsidRDefault="003370AC" w:rsidP="003370AC">
            <w:pPr>
              <w:jc w:val="right"/>
              <w:rPr>
                <w:b/>
                <w:color w:val="auto"/>
                <w:sz w:val="14"/>
                <w:szCs w:val="14"/>
              </w:rPr>
            </w:pPr>
            <w:r>
              <w:rPr>
                <w:b/>
                <w:color w:val="auto"/>
                <w:sz w:val="14"/>
                <w:szCs w:val="14"/>
              </w:rPr>
              <w:t>Jan</w:t>
            </w:r>
          </w:p>
        </w:tc>
        <w:tc>
          <w:tcPr>
            <w:tcW w:w="813" w:type="dxa"/>
            <w:tcBorders>
              <w:top w:val="single" w:sz="4" w:space="0" w:color="auto"/>
              <w:bottom w:val="single" w:sz="12" w:space="0" w:color="auto"/>
            </w:tcBorders>
            <w:shd w:val="clear" w:color="auto" w:fill="auto"/>
            <w:vAlign w:val="center"/>
            <w:hideMark/>
          </w:tcPr>
          <w:p w:rsidR="003370AC" w:rsidRPr="006619BF" w:rsidRDefault="003370AC" w:rsidP="003370AC">
            <w:pPr>
              <w:jc w:val="right"/>
              <w:rPr>
                <w:b/>
                <w:color w:val="auto"/>
                <w:sz w:val="14"/>
                <w:szCs w:val="14"/>
              </w:rPr>
            </w:pPr>
            <w:r>
              <w:rPr>
                <w:b/>
                <w:color w:val="auto"/>
                <w:sz w:val="14"/>
                <w:szCs w:val="14"/>
              </w:rPr>
              <w:t>Feb</w:t>
            </w:r>
          </w:p>
        </w:tc>
        <w:tc>
          <w:tcPr>
            <w:tcW w:w="792" w:type="dxa"/>
            <w:tcBorders>
              <w:top w:val="single" w:sz="4" w:space="0" w:color="auto"/>
              <w:bottom w:val="single" w:sz="12" w:space="0" w:color="auto"/>
              <w:right w:val="nil"/>
            </w:tcBorders>
            <w:shd w:val="clear" w:color="auto" w:fill="auto"/>
            <w:vAlign w:val="center"/>
            <w:hideMark/>
          </w:tcPr>
          <w:p w:rsidR="003370AC" w:rsidRPr="006619BF" w:rsidRDefault="003370AC" w:rsidP="003370AC">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1,174,901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1,202,327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1,130,281</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857,881</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732,906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650,575</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583,020</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2,374,003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2,918,002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2,839,862</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2,839,266</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2,709,028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2,632,837</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2,678,957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1,199,103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1,715,676</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1,709,581</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1,981,384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1,976,122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1,982,262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2,095,937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12,067,098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14,374,457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14,586,410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16,095,797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16,152,896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16,374,113</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16,784,867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7,302,908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8,611,587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8,621,437</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9,482,430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9,445,880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9,557,279</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9,812,724</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7,547,129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9,307,856</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9,361,336</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10,049,078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10,113,024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10,159,094</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10,383,857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8,353,346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10,324,647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10,316,236</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11,039,822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11,200,735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11,244,337</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11,468,094</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806,217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1,016,792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954,900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990,744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1,087,712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1,085,243</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1,084,237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(244,221)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(696,268)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(739,899)</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(566,648)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(667,143)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(601,815)</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(571,133)</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363,502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315,010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314,324</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464,018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448,175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443,849</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437,589</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607,723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1,011,279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1,054,223</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1,030,666</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1,115,318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1,045,664</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1,008,722</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4,764,190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5,762,870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5,964,973</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6,613,367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6,707,016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6,816,834</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6,972,143</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116,831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131,675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138,831</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96,369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101,785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108,645</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107,627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633,411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850,154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953,098</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1,072,245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1,110,504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1,134,356</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1,195,256</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3,197,258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3,764,094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3,839,231</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4,265,538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4,301,361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4,373,065</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4,450,537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816,690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1,016,947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1,033,813</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1,179,214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1,193,365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1,200,768</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1,218,723</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11,032,131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13,128,157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13,330,800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14,728,959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14,597,438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14,783,738</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15,091,220</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2,546,994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3,467,652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3,473,780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3,913,900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3,964,856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4,016,072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4,085,690</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6,336,978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7,382,614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7,503,422</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8,157,929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8,088,621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8,195,741</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8,366,402</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104,731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182,383</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192,370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242,845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213,669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205,178</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250,363</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231,463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326,509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316,580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277,999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303,139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287,552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302,186</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2,323,366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2,164,399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2,180,507</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2,382,208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2,333,117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2,393,163</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2,406,258</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3,677,418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4,709,323</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4,813,965</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5,254,877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5,238,696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5,309,847</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5,407,595</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2,148,149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2,277,881</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2,353,589</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2,657,120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2,543,945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2,571,909</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2,639,112</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48,524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72,091</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78,358</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90,078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84,328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84,057</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89,646</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260,565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354,844</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343,700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446,815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426,840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424,959</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434,258</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707,689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743,925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751,526</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887,948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784,510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790,630</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832,663</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1,131,372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1,107,020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1,180,005</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1,232,278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1,248,267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1,272,262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1,282,544</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16</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7</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12</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3</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3</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41,348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46,107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46,043</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51,077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51,107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50,994</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51,326</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16,741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13,609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13,934</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17,979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18,070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18,202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17,910</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5,488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9,052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i/>
                <w:iCs/>
                <w:sz w:val="14"/>
                <w:szCs w:val="14"/>
              </w:rPr>
            </w:pPr>
            <w:r>
              <w:rPr>
                <w:i/>
                <w:iCs/>
                <w:sz w:val="14"/>
                <w:szCs w:val="14"/>
              </w:rPr>
              <w:t>9,529</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12,287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12,327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12,342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i/>
                <w:iCs/>
                <w:sz w:val="14"/>
                <w:szCs w:val="14"/>
              </w:rPr>
            </w:pPr>
            <w:r>
              <w:rPr>
                <w:i/>
                <w:iCs/>
                <w:sz w:val="14"/>
                <w:szCs w:val="14"/>
              </w:rPr>
              <w:t>12,271</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13,482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15,538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15,243</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12,127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12,883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14,770</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16,369</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1,852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5,705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i/>
                <w:iCs/>
                <w:sz w:val="14"/>
                <w:szCs w:val="14"/>
              </w:rPr>
            </w:pPr>
            <w:r>
              <w:rPr>
                <w:i/>
                <w:iCs/>
                <w:sz w:val="14"/>
                <w:szCs w:val="14"/>
              </w:rPr>
              <w:t>5,410</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2,652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3,368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5,255</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i/>
                <w:iCs/>
                <w:sz w:val="14"/>
                <w:szCs w:val="14"/>
              </w:rPr>
            </w:pPr>
            <w:r>
              <w:rPr>
                <w:i/>
                <w:iCs/>
                <w:sz w:val="14"/>
                <w:szCs w:val="14"/>
              </w:rPr>
              <w:t>6,854</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924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1,507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1,177</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1,486</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1,345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1,161</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1,834</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i/>
                <w:iCs/>
                <w:sz w:val="14"/>
                <w:szCs w:val="14"/>
              </w:rPr>
            </w:pPr>
            <w:r>
              <w:rPr>
                <w:i/>
                <w:iCs/>
                <w:sz w:val="14"/>
                <w:szCs w:val="14"/>
              </w:rPr>
              <w:t>-</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i/>
                <w:iCs/>
                <w:sz w:val="14"/>
                <w:szCs w:val="14"/>
              </w:rPr>
            </w:pPr>
            <w:r>
              <w:rPr>
                <w:i/>
                <w:iCs/>
                <w:sz w:val="14"/>
                <w:szCs w:val="14"/>
              </w:rPr>
              <w:t>-</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38</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114</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343</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130</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154</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i/>
                <w:iCs/>
                <w:sz w:val="14"/>
                <w:szCs w:val="14"/>
              </w:rPr>
            </w:pPr>
            <w:r>
              <w:rPr>
                <w:i/>
                <w:iCs/>
                <w:sz w:val="14"/>
                <w:szCs w:val="14"/>
              </w:rPr>
              <w:t>-</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i/>
                <w:iCs/>
                <w:sz w:val="14"/>
                <w:szCs w:val="14"/>
              </w:rPr>
            </w:pPr>
            <w:r>
              <w:rPr>
                <w:i/>
                <w:iCs/>
                <w:sz w:val="14"/>
                <w:szCs w:val="14"/>
              </w:rPr>
              <w:t>-</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2,033,245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2,467,416</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2,417,876</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2,362,525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2,412,757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2,423,000</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2,403,427</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104,165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(95,440)</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b/>
                <w:bCs/>
                <w:sz w:val="14"/>
                <w:szCs w:val="14"/>
              </w:rPr>
            </w:pPr>
            <w:r>
              <w:rPr>
                <w:b/>
                <w:bCs/>
                <w:sz w:val="14"/>
                <w:szCs w:val="14"/>
              </w:rPr>
              <w:t>(108,268)</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(220,132)</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(207,454)</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b/>
                <w:bCs/>
                <w:sz w:val="14"/>
                <w:szCs w:val="14"/>
              </w:rPr>
            </w:pPr>
            <w:r>
              <w:rPr>
                <w:b/>
                <w:bCs/>
                <w:sz w:val="14"/>
                <w:szCs w:val="14"/>
              </w:rPr>
              <w:t>(267,046)</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b/>
                <w:bCs/>
                <w:sz w:val="14"/>
                <w:szCs w:val="14"/>
              </w:rPr>
            </w:pPr>
            <w:r>
              <w:rPr>
                <w:b/>
                <w:bCs/>
                <w:sz w:val="14"/>
                <w:szCs w:val="14"/>
              </w:rPr>
              <w:t>(214,045)</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1,602,651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1,400,099</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1,432,212</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1,505,977</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1,520,469</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1,515,223</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1,578,529</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1,114,726</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1,394,435</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1,466,631</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1,590,108</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1,582,055</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1,624,937</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1,641,449</w:t>
            </w:r>
          </w:p>
        </w:tc>
      </w:tr>
      <w:tr w:rsidR="003B6A4E" w:rsidRPr="002D5FD9" w:rsidTr="003B6A4E">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6A4E" w:rsidRPr="002D5FD9" w:rsidRDefault="003B6A4E" w:rsidP="003370AC">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(383,760)</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(101,103)</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565A38">
            <w:pPr>
              <w:jc w:val="right"/>
              <w:rPr>
                <w:sz w:val="14"/>
                <w:szCs w:val="14"/>
              </w:rPr>
            </w:pPr>
            <w:r>
              <w:rPr>
                <w:sz w:val="14"/>
                <w:szCs w:val="14"/>
              </w:rPr>
              <w:t>(73,849)</w:t>
            </w:r>
          </w:p>
        </w:tc>
        <w:tc>
          <w:tcPr>
            <w:tcW w:w="90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(136,001)</w:t>
            </w:r>
          </w:p>
        </w:tc>
        <w:tc>
          <w:tcPr>
            <w:tcW w:w="810"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(145,867)</w:t>
            </w:r>
          </w:p>
        </w:tc>
        <w:tc>
          <w:tcPr>
            <w:tcW w:w="813" w:type="dxa"/>
            <w:tcBorders>
              <w:top w:val="nil"/>
              <w:left w:val="nil"/>
              <w:bottom w:val="nil"/>
              <w:right w:val="nil"/>
            </w:tcBorders>
            <w:shd w:val="clear" w:color="auto" w:fill="auto"/>
            <w:tcMar>
              <w:left w:w="43" w:type="dxa"/>
              <w:right w:w="43" w:type="dxa"/>
            </w:tcMar>
            <w:vAlign w:val="center"/>
            <w:hideMark/>
          </w:tcPr>
          <w:p w:rsidR="003B6A4E" w:rsidRDefault="003B6A4E" w:rsidP="003370AC">
            <w:pPr>
              <w:jc w:val="right"/>
              <w:rPr>
                <w:sz w:val="14"/>
                <w:szCs w:val="14"/>
              </w:rPr>
            </w:pPr>
            <w:r>
              <w:rPr>
                <w:sz w:val="14"/>
                <w:szCs w:val="14"/>
              </w:rPr>
              <w:t>(157,332)</w:t>
            </w:r>
          </w:p>
        </w:tc>
        <w:tc>
          <w:tcPr>
            <w:tcW w:w="792" w:type="dxa"/>
            <w:tcBorders>
              <w:top w:val="nil"/>
              <w:left w:val="nil"/>
              <w:bottom w:val="nil"/>
              <w:right w:val="nil"/>
            </w:tcBorders>
            <w:shd w:val="clear" w:color="auto" w:fill="auto"/>
            <w:noWrap/>
            <w:tcMar>
              <w:left w:w="43" w:type="dxa"/>
              <w:right w:w="43" w:type="dxa"/>
            </w:tcMar>
            <w:vAlign w:val="center"/>
            <w:hideMark/>
          </w:tcPr>
          <w:p w:rsidR="003B6A4E" w:rsidRDefault="003B6A4E" w:rsidP="003B6A4E">
            <w:pPr>
              <w:jc w:val="right"/>
              <w:rPr>
                <w:sz w:val="14"/>
                <w:szCs w:val="14"/>
              </w:rPr>
            </w:pPr>
            <w:r>
              <w:rPr>
                <w:sz w:val="14"/>
                <w:szCs w:val="14"/>
              </w:rPr>
              <w:t>(151,125)</w:t>
            </w:r>
          </w:p>
        </w:tc>
      </w:tr>
      <w:tr w:rsidR="003370AC"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3370AC" w:rsidRPr="002D5FD9" w:rsidRDefault="003370AC" w:rsidP="003370AC">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3370AC"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3370AC" w:rsidRPr="005805B6" w:rsidRDefault="00272445" w:rsidP="003370AC">
            <w:pPr>
              <w:ind w:left="360"/>
              <w:jc w:val="left"/>
              <w:rPr>
                <w:sz w:val="14"/>
                <w:szCs w:val="14"/>
              </w:rPr>
            </w:pPr>
            <w:hyperlink r:id="rId11" w:history="1">
              <w:r w:rsidR="003370AC" w:rsidRPr="005805B6">
                <w:rPr>
                  <w:sz w:val="14"/>
                  <w:szCs w:val="14"/>
                </w:rPr>
                <w:t xml:space="preserve">2. </w:t>
              </w:r>
              <w:r w:rsidR="003370AC"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3370AC">
              <w:t xml:space="preserve"> </w:t>
            </w:r>
            <w:r w:rsidR="003370AC" w:rsidRPr="00506260">
              <w:t>www.sbp.org.pk/ecodata/Revision_Monetary_Stats.pdf</w:t>
            </w:r>
          </w:p>
        </w:tc>
      </w:tr>
      <w:tr w:rsidR="003370AC"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3370AC" w:rsidRDefault="003370AC" w:rsidP="003370AC">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26"/>
        <w:gridCol w:w="721"/>
        <w:gridCol w:w="721"/>
        <w:gridCol w:w="819"/>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9D025C">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165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987" w:type="dxa"/>
            <w:gridSpan w:val="4"/>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2414" w:type="dxa"/>
            <w:gridSpan w:val="3"/>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3370AC" w:rsidRPr="009B6E8A" w:rsidTr="009D025C">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3370AC" w:rsidRPr="009B6E8A" w:rsidRDefault="003370AC" w:rsidP="009C504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9C5044">
            <w:pPr>
              <w:jc w:val="right"/>
              <w:rPr>
                <w:b/>
                <w:bCs/>
                <w:color w:val="auto"/>
                <w:sz w:val="14"/>
                <w:szCs w:val="14"/>
              </w:rPr>
            </w:pPr>
            <w:r w:rsidRPr="006619BF">
              <w:rPr>
                <w:b/>
                <w:bCs/>
                <w:color w:val="auto"/>
                <w:sz w:val="14"/>
                <w:szCs w:val="14"/>
              </w:rPr>
              <w:t>FY17</w:t>
            </w:r>
          </w:p>
        </w:tc>
        <w:tc>
          <w:tcPr>
            <w:tcW w:w="72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Feb</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9C5044">
            <w:pPr>
              <w:jc w:val="right"/>
              <w:rPr>
                <w:b/>
                <w:bCs/>
                <w:color w:val="auto"/>
                <w:sz w:val="14"/>
                <w:szCs w:val="14"/>
              </w:rPr>
            </w:pPr>
            <w:r>
              <w:rPr>
                <w:b/>
                <w:bCs/>
                <w:color w:val="auto"/>
                <w:sz w:val="14"/>
                <w:szCs w:val="14"/>
              </w:rPr>
              <w:t>Mar</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sidRPr="006619BF">
              <w:rPr>
                <w:b/>
                <w:bCs/>
                <w:color w:val="auto"/>
                <w:sz w:val="14"/>
                <w:szCs w:val="14"/>
              </w:rPr>
              <w:t>Nov</w:t>
            </w:r>
          </w:p>
        </w:tc>
        <w:tc>
          <w:tcPr>
            <w:tcW w:w="81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Dec</w:t>
            </w:r>
          </w:p>
        </w:tc>
        <w:tc>
          <w:tcPr>
            <w:tcW w:w="813"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Jan</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Feb</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3370AC" w:rsidRPr="006619BF" w:rsidRDefault="003370AC" w:rsidP="009C5044">
            <w:pPr>
              <w:jc w:val="right"/>
              <w:rPr>
                <w:b/>
                <w:bCs/>
                <w:color w:val="auto"/>
                <w:sz w:val="14"/>
                <w:szCs w:val="14"/>
              </w:rPr>
            </w:pPr>
            <w:r>
              <w:rPr>
                <w:b/>
                <w:bCs/>
                <w:color w:val="auto"/>
                <w:sz w:val="14"/>
                <w:szCs w:val="14"/>
              </w:rPr>
              <w:t xml:space="preserve">Mar </w:t>
            </w:r>
            <w:r w:rsidRPr="003370AC">
              <w:rPr>
                <w:b/>
                <w:bCs/>
                <w:color w:val="auto"/>
                <w:sz w:val="14"/>
                <w:szCs w:val="14"/>
                <w:vertAlign w:val="superscript"/>
              </w:rPr>
              <w:t>P</w:t>
            </w:r>
          </w:p>
        </w:tc>
      </w:tr>
      <w:tr w:rsidR="003370AC" w:rsidRPr="009B6E8A" w:rsidTr="009D025C">
        <w:trPr>
          <w:trHeight w:hRule="exact" w:val="178"/>
          <w:jc w:val="center"/>
        </w:trPr>
        <w:tc>
          <w:tcPr>
            <w:tcW w:w="3341" w:type="dxa"/>
            <w:gridSpan w:val="2"/>
            <w:tcBorders>
              <w:top w:val="nil"/>
              <w:left w:val="nil"/>
              <w:bottom w:val="nil"/>
              <w:right w:val="nil"/>
            </w:tcBorders>
            <w:shd w:val="clear" w:color="auto" w:fill="auto"/>
            <w:noWrap/>
            <w:vAlign w:val="center"/>
            <w:hideMark/>
          </w:tcPr>
          <w:p w:rsidR="003370AC" w:rsidRPr="009B6E8A" w:rsidRDefault="003370AC" w:rsidP="009C5044">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3370AC" w:rsidRPr="009B6E8A" w:rsidRDefault="003370AC"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3370AC" w:rsidRPr="009B6E8A" w:rsidRDefault="003370AC" w:rsidP="009C5044">
            <w:pPr>
              <w:jc w:val="right"/>
              <w:rPr>
                <w:b/>
                <w:bCs/>
                <w:color w:val="auto"/>
                <w:sz w:val="13"/>
                <w:szCs w:val="13"/>
              </w:rPr>
            </w:pPr>
          </w:p>
        </w:tc>
        <w:tc>
          <w:tcPr>
            <w:tcW w:w="726" w:type="dxa"/>
            <w:tcBorders>
              <w:top w:val="nil"/>
              <w:left w:val="nil"/>
              <w:bottom w:val="nil"/>
              <w:right w:val="nil"/>
            </w:tcBorders>
            <w:shd w:val="clear" w:color="auto" w:fill="auto"/>
            <w:noWrap/>
            <w:tcMar>
              <w:left w:w="43" w:type="dxa"/>
              <w:right w:w="43" w:type="dxa"/>
            </w:tcMar>
            <w:vAlign w:val="center"/>
            <w:hideMark/>
          </w:tcPr>
          <w:p w:rsidR="003370AC" w:rsidRDefault="003370AC" w:rsidP="003370AC">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3370AC" w:rsidRDefault="003370AC" w:rsidP="009C5044">
            <w:pPr>
              <w:jc w:val="right"/>
              <w:rPr>
                <w:b/>
                <w:bCs/>
                <w:sz w:val="13"/>
                <w:szCs w:val="13"/>
              </w:rPr>
            </w:pPr>
          </w:p>
        </w:tc>
        <w:tc>
          <w:tcPr>
            <w:tcW w:w="721" w:type="dxa"/>
            <w:tcBorders>
              <w:top w:val="nil"/>
              <w:left w:val="nil"/>
              <w:bottom w:val="nil"/>
              <w:right w:val="nil"/>
            </w:tcBorders>
            <w:shd w:val="clear" w:color="auto" w:fill="auto"/>
            <w:tcMar>
              <w:left w:w="43" w:type="dxa"/>
              <w:right w:w="43" w:type="dxa"/>
            </w:tcMar>
            <w:vAlign w:val="center"/>
            <w:hideMark/>
          </w:tcPr>
          <w:p w:rsidR="003370AC" w:rsidRDefault="003370AC" w:rsidP="003370AC">
            <w:pPr>
              <w:jc w:val="right"/>
              <w:rPr>
                <w:b/>
                <w:bCs/>
                <w:sz w:val="13"/>
                <w:szCs w:val="13"/>
              </w:rPr>
            </w:pPr>
          </w:p>
        </w:tc>
        <w:tc>
          <w:tcPr>
            <w:tcW w:w="819" w:type="dxa"/>
            <w:tcBorders>
              <w:top w:val="nil"/>
              <w:left w:val="nil"/>
              <w:bottom w:val="nil"/>
              <w:right w:val="nil"/>
            </w:tcBorders>
            <w:shd w:val="clear" w:color="auto" w:fill="auto"/>
            <w:noWrap/>
            <w:tcMar>
              <w:left w:w="43" w:type="dxa"/>
              <w:right w:w="43" w:type="dxa"/>
            </w:tcMar>
            <w:vAlign w:val="center"/>
            <w:hideMark/>
          </w:tcPr>
          <w:p w:rsidR="003370AC" w:rsidRDefault="003370AC" w:rsidP="003370AC">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3370AC" w:rsidRDefault="003370AC" w:rsidP="003370AC">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3370AC" w:rsidRDefault="003370AC" w:rsidP="003370AC">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3370AC" w:rsidRDefault="003370AC" w:rsidP="009C5044">
            <w:pPr>
              <w:jc w:val="right"/>
              <w:rPr>
                <w:b/>
                <w:bCs/>
                <w:sz w:val="13"/>
                <w:szCs w:val="13"/>
              </w:rPr>
            </w:pP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3,911,315</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3,501,067</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3,484,918</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3,926,868</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3,926,957</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3,993,781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4,053,248</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4,098,603</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264,627</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177,172</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196,256</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203,646</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201,307</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204,511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202,153</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197,485</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22,692</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18,769</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18,818</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22,581</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22,624</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22,914</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22,737</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22,983</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669,338</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558,440</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587,977</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666,054</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733,921</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714,907</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674,214</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747,299</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4,867,971</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4,255,447</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4,287,969</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4,819,150</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4,884,808</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4,936,114</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4,952,351</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5,066,370</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20"/>
              </w:rPr>
            </w:pP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20"/>
              </w:rPr>
            </w:pP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828,923</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918,173</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877,860</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571,534</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642,399</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543,853</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430,973</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364,599</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4,039,049</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3,337,275</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3,410,108</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4,247,616</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4,242,409</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4,392,261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4,521,378</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4,701,771</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2,337,124</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2,383,846</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2,234,585</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2,455,385</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2,336,355</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3,241,700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2,777,205</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4,502,969</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2,350,109</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2,393,528</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2,243,832</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2,468,304</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2,347,380</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3,253,035</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2,786,158</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4,511,578</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2,440,624</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2,711,773</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2,644,550</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2,754,809</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2,602,428</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3,521,780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3,074,519</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4,749,712</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(91,238)</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(294,184)</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(159,460)</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(257,291)</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(12,470)</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(17,388)</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(608,147)</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(15,348)</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(88,555)</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(303,108)</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(390,086)</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(276,761)</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(247,782)</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(259,227)</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(273,622)</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(226,928)</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(1,460)</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(40,429)</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(41,201)</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(37,796)</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(39,238)</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(42,528)</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(41,786)</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(40,155)</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(30,245)</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(58,043)</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(71,242)</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(47,859)</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(53,043)</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(54,617)</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(67,870)</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(61,825)</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(38,146)</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(99,471)</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(170,441)</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(102,104)</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(79,162)</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(81,892)</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(82,567)</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(69,243)</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(18,704)</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(105,165)</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(107,201)</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(89,002)</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(76,340)</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(80,189)</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(81,398)</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(55,706)</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7,279</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580</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4,078</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3,065</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4,587</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4,819</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329</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3,900</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(9,239)</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(15,717)</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(14,711)</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(12,809)</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(11,853)</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(14,337)</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(15,068)</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(15,106)</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(12,985)</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(9,682)</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(9,247)</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(12,919)</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(11,025)</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(11,335)</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(8,954)</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(8,608)</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Default="009D025C"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491,157</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495,611</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499,716</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530,122</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554,120</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559,490</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556,586</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561,539</w:t>
            </w:r>
          </w:p>
        </w:tc>
      </w:tr>
      <w:tr w:rsidR="009D025C" w:rsidRPr="009B6E8A" w:rsidTr="009D025C">
        <w:trPr>
          <w:trHeight w:hRule="exact" w:val="236"/>
          <w:jc w:val="center"/>
        </w:trPr>
        <w:tc>
          <w:tcPr>
            <w:tcW w:w="3341" w:type="dxa"/>
            <w:gridSpan w:val="2"/>
            <w:tcBorders>
              <w:top w:val="nil"/>
              <w:left w:val="nil"/>
              <w:bottom w:val="nil"/>
              <w:right w:val="nil"/>
            </w:tcBorders>
            <w:shd w:val="clear" w:color="auto" w:fill="auto"/>
            <w:noWrap/>
            <w:vAlign w:val="center"/>
            <w:hideMark/>
          </w:tcPr>
          <w:p w:rsidR="009D025C" w:rsidRPr="008C32C5" w:rsidRDefault="009D025C"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500,160</w:t>
            </w:r>
          </w:p>
        </w:tc>
        <w:tc>
          <w:tcPr>
            <w:tcW w:w="726"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497,452</w:t>
            </w:r>
          </w:p>
        </w:tc>
        <w:tc>
          <w:tcPr>
            <w:tcW w:w="721"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501,198</w:t>
            </w:r>
          </w:p>
        </w:tc>
        <w:tc>
          <w:tcPr>
            <w:tcW w:w="721" w:type="dxa"/>
            <w:tcBorders>
              <w:top w:val="nil"/>
              <w:left w:val="nil"/>
              <w:bottom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538,957</w:t>
            </w:r>
          </w:p>
        </w:tc>
        <w:tc>
          <w:tcPr>
            <w:tcW w:w="819"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562,690</w:t>
            </w:r>
          </w:p>
        </w:tc>
        <w:tc>
          <w:tcPr>
            <w:tcW w:w="813"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567,782</w:t>
            </w:r>
          </w:p>
        </w:tc>
        <w:tc>
          <w:tcPr>
            <w:tcW w:w="811" w:type="dxa"/>
            <w:tcBorders>
              <w:top w:val="nil"/>
              <w:left w:val="nil"/>
              <w:bottom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564,745</w:t>
            </w:r>
          </w:p>
        </w:tc>
        <w:tc>
          <w:tcPr>
            <w:tcW w:w="790" w:type="dxa"/>
            <w:tcBorders>
              <w:top w:val="nil"/>
              <w:left w:val="nil"/>
              <w:bottom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569,611</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bottom"/>
            <w:hideMark/>
          </w:tcPr>
          <w:p w:rsidR="009D025C" w:rsidRDefault="009D025C" w:rsidP="009C504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1,217</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51,484</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51,463</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1,028</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993</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914</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936</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935</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bottom"/>
            <w:hideMark/>
          </w:tcPr>
          <w:p w:rsidR="009D025C" w:rsidRDefault="009D025C" w:rsidP="009C504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79,196</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66,472</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70,950</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94,726</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97,661</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99,557</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103,063</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106,260</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bottom"/>
            <w:hideMark/>
          </w:tcPr>
          <w:p w:rsidR="009D025C" w:rsidRDefault="009D025C" w:rsidP="009C504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238,383</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243,396</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242,984</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278,572</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299,206</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302,481</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296,155</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296,358</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bottom"/>
            <w:hideMark/>
          </w:tcPr>
          <w:p w:rsidR="009D025C" w:rsidRDefault="009D025C" w:rsidP="009C504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bottom"/>
            <w:hideMark/>
          </w:tcPr>
          <w:p w:rsidR="009D025C" w:rsidRDefault="009D025C" w:rsidP="009C504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181,364</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136,101</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135,801</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164,631</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164,830</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164,830</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164,592</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166,059</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center"/>
            <w:hideMark/>
          </w:tcPr>
          <w:p w:rsidR="009D025C" w:rsidRPr="008C32C5" w:rsidRDefault="009D025C" w:rsidP="009C504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15,241</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22,403</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22,762</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15,409</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15,674</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15,952</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16,085</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16,171</w:t>
            </w:r>
          </w:p>
        </w:tc>
      </w:tr>
      <w:tr w:rsidR="009D025C" w:rsidRPr="009B6E8A" w:rsidTr="009D025C">
        <w:trPr>
          <w:trHeight w:hRule="exact" w:val="369"/>
          <w:jc w:val="center"/>
        </w:trPr>
        <w:tc>
          <w:tcPr>
            <w:tcW w:w="3341" w:type="dxa"/>
            <w:gridSpan w:val="2"/>
            <w:tcBorders>
              <w:top w:val="nil"/>
              <w:left w:val="nil"/>
              <w:right w:val="nil"/>
            </w:tcBorders>
            <w:shd w:val="clear" w:color="auto" w:fill="auto"/>
            <w:noWrap/>
            <w:vAlign w:val="center"/>
            <w:hideMark/>
          </w:tcPr>
          <w:p w:rsidR="009D025C" w:rsidRDefault="009D025C" w:rsidP="009C5044">
            <w:pPr>
              <w:ind w:firstLineChars="196" w:firstLine="314"/>
              <w:jc w:val="left"/>
              <w:rPr>
                <w:szCs w:val="16"/>
              </w:rPr>
            </w:pPr>
            <w:r>
              <w:rPr>
                <w:szCs w:val="16"/>
              </w:rPr>
              <w:t>iii. PSEs Special A/C</w:t>
            </w:r>
            <w:r w:rsidRPr="008C32C5">
              <w:rPr>
                <w:szCs w:val="16"/>
              </w:rPr>
              <w:t xml:space="preserve"> Debt Repayment</w:t>
            </w:r>
          </w:p>
          <w:p w:rsidR="009D025C" w:rsidRPr="008C32C5" w:rsidRDefault="009D025C" w:rsidP="009C504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14"/>
                <w:szCs w:val="14"/>
              </w:rPr>
            </w:pPr>
            <w:r>
              <w:rPr>
                <w:sz w:val="14"/>
                <w:szCs w:val="14"/>
              </w:rPr>
              <w:t>(24,244)</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(24,244)</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(24,244)</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(24,244)</w:t>
            </w:r>
          </w:p>
        </w:tc>
      </w:tr>
      <w:tr w:rsidR="009D025C" w:rsidRPr="009B6E8A" w:rsidTr="009D025C">
        <w:trPr>
          <w:trHeight w:hRule="exact" w:val="276"/>
          <w:jc w:val="center"/>
        </w:trPr>
        <w:tc>
          <w:tcPr>
            <w:tcW w:w="3341" w:type="dxa"/>
            <w:gridSpan w:val="2"/>
            <w:tcBorders>
              <w:top w:val="nil"/>
              <w:left w:val="nil"/>
              <w:right w:val="nil"/>
            </w:tcBorders>
            <w:shd w:val="clear" w:color="auto" w:fill="auto"/>
            <w:noWrap/>
            <w:vAlign w:val="center"/>
            <w:hideMark/>
          </w:tcPr>
          <w:p w:rsidR="009D025C" w:rsidRDefault="009D025C" w:rsidP="009C504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1,210,768</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457,817</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675,808</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1,262,108</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1,351,933</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591,071</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1,187,587</w:t>
            </w: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(362,737)</w:t>
            </w:r>
          </w:p>
        </w:tc>
      </w:tr>
      <w:tr w:rsidR="009D025C" w:rsidRPr="009B6E8A" w:rsidTr="009D025C">
        <w:trPr>
          <w:trHeight w:hRule="exact" w:val="236"/>
          <w:jc w:val="center"/>
        </w:trPr>
        <w:tc>
          <w:tcPr>
            <w:tcW w:w="3341" w:type="dxa"/>
            <w:gridSpan w:val="2"/>
            <w:tcBorders>
              <w:top w:val="nil"/>
              <w:left w:val="nil"/>
              <w:right w:val="nil"/>
            </w:tcBorders>
            <w:shd w:val="clear" w:color="auto" w:fill="auto"/>
            <w:noWrap/>
            <w:vAlign w:val="bottom"/>
            <w:hideMark/>
          </w:tcPr>
          <w:p w:rsidR="009D025C" w:rsidRDefault="009D025C" w:rsidP="009C5044">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9D025C" w:rsidRPr="008C32C5" w:rsidRDefault="009D025C"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DA49F8">
            <w:pPr>
              <w:jc w:val="right"/>
              <w:rPr>
                <w:sz w:val="20"/>
              </w:rPr>
            </w:pP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20"/>
              </w:rPr>
            </w:pP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rFonts w:ascii="Calibri" w:hAnsi="Calibri"/>
                <w:sz w:val="22"/>
                <w:szCs w:val="22"/>
              </w:rPr>
            </w:pP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20"/>
              </w:rPr>
            </w:pPr>
          </w:p>
        </w:tc>
      </w:tr>
      <w:tr w:rsidR="009D025C" w:rsidRPr="009B6E8A" w:rsidTr="009D025C">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9D025C" w:rsidRDefault="009D025C" w:rsidP="009C504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9D025C" w:rsidRPr="008C32C5" w:rsidRDefault="009D025C"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DA49F8">
            <w:pPr>
              <w:jc w:val="right"/>
              <w:rPr>
                <w:b/>
                <w:bCs/>
                <w:sz w:val="14"/>
                <w:szCs w:val="14"/>
              </w:rPr>
            </w:pPr>
            <w:r>
              <w:rPr>
                <w:b/>
                <w:bCs/>
                <w:sz w:val="14"/>
                <w:szCs w:val="14"/>
              </w:rPr>
              <w:t>4,867,971</w:t>
            </w:r>
          </w:p>
        </w:tc>
        <w:tc>
          <w:tcPr>
            <w:tcW w:w="726"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4,255,447</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4,287,969</w:t>
            </w:r>
          </w:p>
        </w:tc>
        <w:tc>
          <w:tcPr>
            <w:tcW w:w="721" w:type="dxa"/>
            <w:tcBorders>
              <w:left w:val="nil"/>
              <w:bottom w:val="single" w:sz="12" w:space="0" w:color="auto"/>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4,819,150</w:t>
            </w:r>
          </w:p>
        </w:tc>
        <w:tc>
          <w:tcPr>
            <w:tcW w:w="819"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4,884,808</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4,936,114</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4,952,351</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5,066,370</w:t>
            </w:r>
          </w:p>
        </w:tc>
      </w:tr>
      <w:tr w:rsidR="003370AC"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3370AC" w:rsidRPr="00691090" w:rsidRDefault="003370AC" w:rsidP="00691090">
            <w:pPr>
              <w:jc w:val="right"/>
              <w:rPr>
                <w:sz w:val="14"/>
                <w:szCs w:val="14"/>
              </w:rPr>
            </w:pPr>
            <w:r>
              <w:rPr>
                <w:sz w:val="14"/>
                <w:szCs w:val="14"/>
              </w:rPr>
              <w:t>Source: Statistics &amp; Data Warehouse Department SBP</w:t>
            </w:r>
          </w:p>
        </w:tc>
      </w:tr>
      <w:tr w:rsidR="003370AC"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3370AC" w:rsidRPr="00FF243E" w:rsidRDefault="003370AC" w:rsidP="009C5044">
            <w:pPr>
              <w:ind w:left="405" w:hanging="180"/>
              <w:jc w:val="left"/>
              <w:rPr>
                <w:color w:val="auto"/>
                <w:sz w:val="14"/>
                <w:szCs w:val="14"/>
              </w:rPr>
            </w:pPr>
            <w:r w:rsidRPr="007A724D">
              <w:rPr>
                <w:color w:val="auto"/>
                <w:sz w:val="14"/>
                <w:szCs w:val="14"/>
              </w:rPr>
              <w:t>Note:-</w:t>
            </w:r>
          </w:p>
          <w:p w:rsidR="003370AC" w:rsidRPr="00FF243E" w:rsidRDefault="003370AC"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3370AC" w:rsidRPr="00FF243E" w:rsidRDefault="003370AC"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3370AC" w:rsidRDefault="003370AC" w:rsidP="009C5044">
            <w:pPr>
              <w:ind w:left="405" w:hanging="83"/>
              <w:jc w:val="left"/>
              <w:rPr>
                <w:color w:val="auto"/>
                <w:sz w:val="14"/>
                <w:szCs w:val="14"/>
              </w:rPr>
            </w:pPr>
            <w:r w:rsidRPr="007A724D">
              <w:rPr>
                <w:color w:val="auto"/>
                <w:sz w:val="14"/>
                <w:szCs w:val="14"/>
              </w:rPr>
              <w:t>ii- Data from 30-June 2013 onward is revised on account of reclassification of SBP accounts</w:t>
            </w:r>
          </w:p>
          <w:p w:rsidR="003370AC" w:rsidRPr="00FF243E" w:rsidRDefault="003370AC" w:rsidP="009C5044">
            <w:pPr>
              <w:ind w:left="405" w:hanging="83"/>
              <w:jc w:val="left"/>
              <w:rPr>
                <w:color w:val="auto"/>
                <w:sz w:val="14"/>
                <w:szCs w:val="14"/>
              </w:rPr>
            </w:pPr>
            <w:r w:rsidRPr="00FF243E">
              <w:rPr>
                <w:color w:val="auto"/>
                <w:sz w:val="14"/>
                <w:szCs w:val="14"/>
              </w:rPr>
              <w:t>*Includes investment of Rs. 100,149 million in Pakistan Security Printing Corporation (PSPC)</w:t>
            </w:r>
          </w:p>
        </w:tc>
      </w:tr>
      <w:tr w:rsidR="003370AC"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3370AC" w:rsidRDefault="003370AC" w:rsidP="009C5044">
            <w:pPr>
              <w:rPr>
                <w:b/>
                <w:bCs/>
                <w:sz w:val="28"/>
                <w:szCs w:val="28"/>
              </w:rPr>
            </w:pPr>
            <w:r>
              <w:rPr>
                <w:b/>
                <w:bCs/>
                <w:sz w:val="28"/>
                <w:szCs w:val="28"/>
              </w:rPr>
              <w:t>2.5   Currency in Circulation</w:t>
            </w:r>
          </w:p>
        </w:tc>
      </w:tr>
      <w:tr w:rsidR="003370AC"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3370AC" w:rsidRDefault="003370AC" w:rsidP="009C5044">
            <w:pPr>
              <w:jc w:val="right"/>
              <w:rPr>
                <w:szCs w:val="16"/>
              </w:rPr>
            </w:pPr>
            <w:r>
              <w:rPr>
                <w:szCs w:val="16"/>
              </w:rPr>
              <w:t>( Million  Rupees )</w:t>
            </w:r>
          </w:p>
        </w:tc>
      </w:tr>
      <w:tr w:rsidR="003370AC" w:rsidRPr="009B6E8A" w:rsidTr="009D025C">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3370AC" w:rsidRPr="009B6E8A" w:rsidRDefault="003370AC" w:rsidP="009C5044">
            <w:pPr>
              <w:jc w:val="left"/>
              <w:rPr>
                <w:b/>
                <w:bCs/>
                <w:color w:val="auto"/>
                <w:sz w:val="14"/>
                <w:szCs w:val="14"/>
              </w:rPr>
            </w:pPr>
          </w:p>
        </w:tc>
        <w:tc>
          <w:tcPr>
            <w:tcW w:w="1658"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3370AC" w:rsidRPr="000D5A5A" w:rsidRDefault="003370AC"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2987" w:type="dxa"/>
            <w:gridSpan w:val="4"/>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3370AC" w:rsidRPr="000D5A5A" w:rsidRDefault="003370AC" w:rsidP="009C5044">
            <w:pPr>
              <w:rPr>
                <w:b/>
                <w:bCs/>
                <w:color w:val="auto"/>
                <w:szCs w:val="16"/>
              </w:rPr>
            </w:pPr>
            <w:r>
              <w:rPr>
                <w:b/>
                <w:bCs/>
                <w:color w:val="auto"/>
                <w:szCs w:val="16"/>
              </w:rPr>
              <w:t>2017</w:t>
            </w:r>
          </w:p>
        </w:tc>
        <w:tc>
          <w:tcPr>
            <w:tcW w:w="2414" w:type="dxa"/>
            <w:gridSpan w:val="3"/>
            <w:tcBorders>
              <w:top w:val="single" w:sz="12" w:space="0" w:color="auto"/>
              <w:left w:val="single" w:sz="4" w:space="0" w:color="auto"/>
              <w:bottom w:val="single" w:sz="4" w:space="0" w:color="auto"/>
              <w:right w:val="nil"/>
            </w:tcBorders>
            <w:shd w:val="clear" w:color="auto" w:fill="auto"/>
            <w:vAlign w:val="center"/>
          </w:tcPr>
          <w:p w:rsidR="003370AC" w:rsidRPr="000D5A5A" w:rsidRDefault="003370AC" w:rsidP="009C5044">
            <w:pPr>
              <w:rPr>
                <w:b/>
                <w:bCs/>
                <w:color w:val="auto"/>
                <w:szCs w:val="16"/>
              </w:rPr>
            </w:pPr>
            <w:r>
              <w:rPr>
                <w:b/>
                <w:bCs/>
                <w:color w:val="auto"/>
                <w:szCs w:val="16"/>
              </w:rPr>
              <w:t>2018</w:t>
            </w:r>
          </w:p>
        </w:tc>
      </w:tr>
      <w:tr w:rsidR="003370AC" w:rsidRPr="009B6E8A" w:rsidTr="009D025C">
        <w:trPr>
          <w:trHeight w:hRule="exact" w:val="26"/>
          <w:jc w:val="center"/>
        </w:trPr>
        <w:tc>
          <w:tcPr>
            <w:tcW w:w="3341" w:type="dxa"/>
            <w:gridSpan w:val="2"/>
            <w:tcBorders>
              <w:left w:val="nil"/>
              <w:right w:val="single" w:sz="4" w:space="0" w:color="auto"/>
            </w:tcBorders>
            <w:shd w:val="clear" w:color="auto" w:fill="auto"/>
            <w:noWrap/>
            <w:vAlign w:val="center"/>
            <w:hideMark/>
          </w:tcPr>
          <w:p w:rsidR="003370AC" w:rsidRPr="009B6E8A" w:rsidRDefault="003370AC" w:rsidP="009C5044">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3370AC" w:rsidRDefault="003370AC"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3370AC" w:rsidRDefault="003370AC" w:rsidP="009C5044">
            <w:pPr>
              <w:rPr>
                <w:b/>
                <w:bCs/>
                <w:sz w:val="13"/>
                <w:szCs w:val="13"/>
              </w:rPr>
            </w:pPr>
          </w:p>
        </w:tc>
        <w:tc>
          <w:tcPr>
            <w:tcW w:w="726"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3370AC" w:rsidRDefault="003370AC" w:rsidP="009C504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3370AC" w:rsidRDefault="003370AC" w:rsidP="009C5044">
            <w:pPr>
              <w:jc w:val="right"/>
              <w:rPr>
                <w:b/>
                <w:bCs/>
                <w:sz w:val="13"/>
                <w:szCs w:val="13"/>
              </w:rPr>
            </w:pPr>
          </w:p>
        </w:tc>
        <w:tc>
          <w:tcPr>
            <w:tcW w:w="721" w:type="dxa"/>
            <w:tcBorders>
              <w:top w:val="single" w:sz="4" w:space="0" w:color="auto"/>
              <w:left w:val="nil"/>
              <w:right w:val="nil"/>
            </w:tcBorders>
            <w:shd w:val="clear" w:color="auto" w:fill="auto"/>
            <w:tcMar>
              <w:left w:w="43" w:type="dxa"/>
              <w:right w:w="43" w:type="dxa"/>
            </w:tcMar>
            <w:vAlign w:val="center"/>
            <w:hideMark/>
          </w:tcPr>
          <w:p w:rsidR="003370AC" w:rsidRDefault="003370AC" w:rsidP="009C5044">
            <w:pPr>
              <w:jc w:val="right"/>
              <w:rPr>
                <w:b/>
                <w:bCs/>
                <w:sz w:val="13"/>
                <w:szCs w:val="13"/>
              </w:rPr>
            </w:pPr>
          </w:p>
        </w:tc>
        <w:tc>
          <w:tcPr>
            <w:tcW w:w="819" w:type="dxa"/>
            <w:tcBorders>
              <w:top w:val="single" w:sz="4" w:space="0" w:color="auto"/>
              <w:left w:val="nil"/>
              <w:right w:val="nil"/>
            </w:tcBorders>
            <w:shd w:val="clear" w:color="auto" w:fill="auto"/>
            <w:noWrap/>
            <w:tcMar>
              <w:left w:w="43" w:type="dxa"/>
              <w:right w:w="43" w:type="dxa"/>
            </w:tcMar>
            <w:vAlign w:val="center"/>
            <w:hideMark/>
          </w:tcPr>
          <w:p w:rsidR="003370AC" w:rsidRDefault="003370AC" w:rsidP="009C5044">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3370AC" w:rsidRDefault="003370AC"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3370AC" w:rsidRDefault="003370AC" w:rsidP="009C5044">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3370AC" w:rsidRPr="009B6E8A" w:rsidRDefault="003370AC" w:rsidP="009C5044">
            <w:pPr>
              <w:jc w:val="right"/>
              <w:rPr>
                <w:rFonts w:ascii="Calibri" w:hAnsi="Calibri"/>
                <w:sz w:val="22"/>
                <w:szCs w:val="22"/>
              </w:rPr>
            </w:pPr>
          </w:p>
        </w:tc>
      </w:tr>
      <w:tr w:rsidR="003370AC" w:rsidRPr="009B6E8A" w:rsidTr="009D025C">
        <w:trPr>
          <w:trHeight w:hRule="exact" w:val="212"/>
          <w:jc w:val="center"/>
        </w:trPr>
        <w:tc>
          <w:tcPr>
            <w:tcW w:w="236" w:type="dxa"/>
            <w:tcBorders>
              <w:left w:val="nil"/>
              <w:bottom w:val="single" w:sz="12" w:space="0" w:color="auto"/>
            </w:tcBorders>
            <w:shd w:val="clear" w:color="auto" w:fill="auto"/>
            <w:noWrap/>
            <w:vAlign w:val="center"/>
            <w:hideMark/>
          </w:tcPr>
          <w:p w:rsidR="003370AC" w:rsidRPr="009B6E8A" w:rsidRDefault="003370AC" w:rsidP="009C504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3370AC" w:rsidRPr="009B6E8A" w:rsidRDefault="003370AC" w:rsidP="009C504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05375B">
            <w:pPr>
              <w:jc w:val="right"/>
              <w:rPr>
                <w:b/>
                <w:bCs/>
                <w:color w:val="auto"/>
                <w:sz w:val="14"/>
                <w:szCs w:val="14"/>
              </w:rPr>
            </w:pPr>
            <w:r w:rsidRPr="006619BF">
              <w:rPr>
                <w:b/>
                <w:bCs/>
                <w:color w:val="auto"/>
                <w:sz w:val="14"/>
                <w:szCs w:val="14"/>
              </w:rPr>
              <w:t>FY17</w:t>
            </w:r>
          </w:p>
        </w:tc>
        <w:tc>
          <w:tcPr>
            <w:tcW w:w="726" w:type="dxa"/>
            <w:tcBorders>
              <w:top w:val="nil"/>
              <w:left w:val="single" w:sz="4" w:space="0" w:color="auto"/>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Feb</w:t>
            </w:r>
          </w:p>
        </w:tc>
        <w:tc>
          <w:tcPr>
            <w:tcW w:w="721" w:type="dxa"/>
            <w:tcBorders>
              <w:top w:val="nil"/>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DE3DF2">
            <w:pPr>
              <w:jc w:val="right"/>
              <w:rPr>
                <w:b/>
                <w:bCs/>
                <w:color w:val="auto"/>
                <w:sz w:val="14"/>
                <w:szCs w:val="14"/>
              </w:rPr>
            </w:pPr>
            <w:r>
              <w:rPr>
                <w:b/>
                <w:bCs/>
                <w:color w:val="auto"/>
                <w:sz w:val="14"/>
                <w:szCs w:val="14"/>
              </w:rPr>
              <w:t>Mar</w:t>
            </w:r>
          </w:p>
        </w:tc>
        <w:tc>
          <w:tcPr>
            <w:tcW w:w="721" w:type="dxa"/>
            <w:tcBorders>
              <w:top w:val="nil"/>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sidRPr="006619BF">
              <w:rPr>
                <w:b/>
                <w:bCs/>
                <w:color w:val="auto"/>
                <w:sz w:val="14"/>
                <w:szCs w:val="14"/>
              </w:rPr>
              <w:t>Nov</w:t>
            </w:r>
          </w:p>
        </w:tc>
        <w:tc>
          <w:tcPr>
            <w:tcW w:w="819" w:type="dxa"/>
            <w:tcBorders>
              <w:top w:val="nil"/>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Dec</w:t>
            </w:r>
          </w:p>
        </w:tc>
        <w:tc>
          <w:tcPr>
            <w:tcW w:w="813" w:type="dxa"/>
            <w:tcBorders>
              <w:top w:val="nil"/>
              <w:left w:val="single" w:sz="4" w:space="0" w:color="auto"/>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Jan</w:t>
            </w:r>
          </w:p>
        </w:tc>
        <w:tc>
          <w:tcPr>
            <w:tcW w:w="811" w:type="dxa"/>
            <w:tcBorders>
              <w:top w:val="nil"/>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 xml:space="preserve">Feb </w:t>
            </w:r>
            <w:r w:rsidRPr="00EE1D4E">
              <w:rPr>
                <w:b/>
                <w:bCs/>
                <w:color w:val="auto"/>
                <w:sz w:val="14"/>
                <w:szCs w:val="14"/>
                <w:vertAlign w:val="superscript"/>
              </w:rPr>
              <w:t>P</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3370AC" w:rsidRPr="006619BF" w:rsidRDefault="003370AC" w:rsidP="00DE3DF2">
            <w:pPr>
              <w:jc w:val="right"/>
              <w:rPr>
                <w:b/>
                <w:bCs/>
                <w:color w:val="auto"/>
                <w:sz w:val="14"/>
                <w:szCs w:val="14"/>
              </w:rPr>
            </w:pPr>
            <w:r>
              <w:rPr>
                <w:b/>
                <w:bCs/>
                <w:color w:val="auto"/>
                <w:sz w:val="14"/>
                <w:szCs w:val="14"/>
              </w:rPr>
              <w:t xml:space="preserve">Mar </w:t>
            </w:r>
            <w:r w:rsidRPr="003370AC">
              <w:rPr>
                <w:b/>
                <w:bCs/>
                <w:color w:val="auto"/>
                <w:sz w:val="14"/>
                <w:szCs w:val="14"/>
                <w:vertAlign w:val="superscript"/>
              </w:rPr>
              <w:t>P</w:t>
            </w:r>
          </w:p>
        </w:tc>
      </w:tr>
      <w:tr w:rsidR="009D025C" w:rsidRPr="009B6E8A" w:rsidTr="009D025C">
        <w:trPr>
          <w:trHeight w:hRule="exact" w:val="236"/>
          <w:jc w:val="center"/>
        </w:trPr>
        <w:tc>
          <w:tcPr>
            <w:tcW w:w="236" w:type="dxa"/>
            <w:tcBorders>
              <w:top w:val="single" w:sz="12" w:space="0" w:color="auto"/>
              <w:left w:val="nil"/>
            </w:tcBorders>
            <w:shd w:val="clear" w:color="auto" w:fill="auto"/>
            <w:noWrap/>
            <w:vAlign w:val="center"/>
            <w:hideMark/>
          </w:tcPr>
          <w:p w:rsidR="009D025C" w:rsidRDefault="009D025C" w:rsidP="009C504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9D025C" w:rsidRDefault="009D025C" w:rsidP="009C504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4,167,136</w:t>
            </w:r>
          </w:p>
        </w:tc>
        <w:tc>
          <w:tcPr>
            <w:tcW w:w="726"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3,669,683</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3,672,538</w:t>
            </w:r>
          </w:p>
        </w:tc>
        <w:tc>
          <w:tcPr>
            <w:tcW w:w="721" w:type="dxa"/>
            <w:tcBorders>
              <w:top w:val="single" w:sz="12" w:space="0" w:color="auto"/>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4,121,627</w:t>
            </w:r>
          </w:p>
        </w:tc>
        <w:tc>
          <w:tcPr>
            <w:tcW w:w="819"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4,119,552</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4,189,513</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4,246,545</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9D025C" w:rsidRPr="009D025C" w:rsidRDefault="009D025C" w:rsidP="009D025C">
            <w:pPr>
              <w:jc w:val="right"/>
              <w:rPr>
                <w:sz w:val="14"/>
                <w:szCs w:val="14"/>
              </w:rPr>
            </w:pPr>
            <w:r w:rsidRPr="009D025C">
              <w:rPr>
                <w:sz w:val="14"/>
                <w:szCs w:val="14"/>
              </w:rPr>
              <w:t>4,287,150</w:t>
            </w:r>
          </w:p>
        </w:tc>
      </w:tr>
      <w:tr w:rsidR="009D025C" w:rsidRPr="009B6E8A" w:rsidTr="009D025C">
        <w:trPr>
          <w:trHeight w:hRule="exact" w:val="236"/>
          <w:jc w:val="center"/>
        </w:trPr>
        <w:tc>
          <w:tcPr>
            <w:tcW w:w="236" w:type="dxa"/>
            <w:tcBorders>
              <w:top w:val="nil"/>
              <w:left w:val="nil"/>
            </w:tcBorders>
            <w:shd w:val="clear" w:color="auto" w:fill="auto"/>
            <w:noWrap/>
            <w:vAlign w:val="center"/>
            <w:hideMark/>
          </w:tcPr>
          <w:p w:rsidR="009D025C" w:rsidRDefault="009D025C" w:rsidP="009C5044">
            <w:pPr>
              <w:jc w:val="left"/>
              <w:rPr>
                <w:sz w:val="14"/>
                <w:szCs w:val="14"/>
              </w:rPr>
            </w:pPr>
            <w:r>
              <w:rPr>
                <w:sz w:val="14"/>
                <w:szCs w:val="14"/>
              </w:rPr>
              <w:t>2</w:t>
            </w:r>
          </w:p>
        </w:tc>
        <w:tc>
          <w:tcPr>
            <w:tcW w:w="3105" w:type="dxa"/>
            <w:tcBorders>
              <w:top w:val="nil"/>
              <w:right w:val="nil"/>
            </w:tcBorders>
            <w:shd w:val="clear" w:color="auto" w:fill="auto"/>
            <w:vAlign w:val="center"/>
          </w:tcPr>
          <w:p w:rsidR="009D025C" w:rsidRDefault="009D025C" w:rsidP="009C504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9,779</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8,863</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9,236</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9,787</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9,683</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9,725</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9,685</w:t>
            </w:r>
          </w:p>
        </w:tc>
        <w:tc>
          <w:tcPr>
            <w:tcW w:w="790" w:type="dxa"/>
            <w:tcBorders>
              <w:top w:val="nil"/>
              <w:left w:val="nil"/>
              <w:right w:val="nil"/>
            </w:tcBorders>
            <w:shd w:val="clear" w:color="auto" w:fill="auto"/>
            <w:noWrap/>
            <w:tcMar>
              <w:left w:w="43" w:type="dxa"/>
              <w:right w:w="43" w:type="dxa"/>
            </w:tcMar>
            <w:vAlign w:val="center"/>
            <w:hideMark/>
          </w:tcPr>
          <w:p w:rsidR="009D025C" w:rsidRPr="009D025C" w:rsidRDefault="009D025C" w:rsidP="009D025C">
            <w:pPr>
              <w:jc w:val="right"/>
              <w:rPr>
                <w:sz w:val="14"/>
                <w:szCs w:val="14"/>
              </w:rPr>
            </w:pPr>
            <w:r w:rsidRPr="009D025C">
              <w:rPr>
                <w:sz w:val="14"/>
                <w:szCs w:val="14"/>
              </w:rPr>
              <w:t>9,697</w:t>
            </w:r>
          </w:p>
        </w:tc>
      </w:tr>
      <w:tr w:rsidR="009D025C" w:rsidRPr="009B6E8A" w:rsidTr="009D025C">
        <w:trPr>
          <w:trHeight w:hRule="exact" w:val="236"/>
          <w:jc w:val="center"/>
        </w:trPr>
        <w:tc>
          <w:tcPr>
            <w:tcW w:w="236" w:type="dxa"/>
            <w:tcBorders>
              <w:top w:val="nil"/>
              <w:left w:val="nil"/>
            </w:tcBorders>
            <w:shd w:val="clear" w:color="auto" w:fill="auto"/>
            <w:noWrap/>
            <w:vAlign w:val="center"/>
            <w:hideMark/>
          </w:tcPr>
          <w:p w:rsidR="009D025C" w:rsidRDefault="009D025C" w:rsidP="009C504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9D025C" w:rsidRDefault="009D025C" w:rsidP="009C504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b/>
                <w:bCs/>
                <w:sz w:val="14"/>
                <w:szCs w:val="14"/>
              </w:rPr>
            </w:pPr>
            <w:r>
              <w:rPr>
                <w:b/>
                <w:bCs/>
                <w:sz w:val="14"/>
                <w:szCs w:val="14"/>
              </w:rPr>
              <w:t>4,176,915</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3,678,546</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3,681,774</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4,131,414</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4,129,236</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4,199,238</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4,256,230</w:t>
            </w:r>
          </w:p>
        </w:tc>
        <w:tc>
          <w:tcPr>
            <w:tcW w:w="790" w:type="dxa"/>
            <w:tcBorders>
              <w:top w:val="nil"/>
              <w:left w:val="nil"/>
              <w:right w:val="nil"/>
            </w:tcBorders>
            <w:shd w:val="clear" w:color="auto" w:fill="auto"/>
            <w:noWrap/>
            <w:tcMar>
              <w:left w:w="43" w:type="dxa"/>
              <w:right w:w="43" w:type="dxa"/>
            </w:tcMar>
            <w:vAlign w:val="center"/>
            <w:hideMark/>
          </w:tcPr>
          <w:p w:rsidR="009D025C" w:rsidRPr="009D025C" w:rsidRDefault="009D025C" w:rsidP="009D025C">
            <w:pPr>
              <w:jc w:val="right"/>
              <w:rPr>
                <w:b/>
                <w:bCs/>
                <w:sz w:val="14"/>
                <w:szCs w:val="14"/>
              </w:rPr>
            </w:pPr>
            <w:r w:rsidRPr="009D025C">
              <w:rPr>
                <w:b/>
                <w:bCs/>
                <w:sz w:val="14"/>
                <w:szCs w:val="14"/>
              </w:rPr>
              <w:t>4,296,847</w:t>
            </w:r>
          </w:p>
        </w:tc>
      </w:tr>
      <w:tr w:rsidR="009D025C" w:rsidRPr="009B6E8A" w:rsidTr="009D025C">
        <w:trPr>
          <w:trHeight w:hRule="exact" w:val="236"/>
          <w:jc w:val="center"/>
        </w:trPr>
        <w:tc>
          <w:tcPr>
            <w:tcW w:w="236" w:type="dxa"/>
            <w:tcBorders>
              <w:top w:val="nil"/>
              <w:left w:val="nil"/>
            </w:tcBorders>
            <w:shd w:val="clear" w:color="auto" w:fill="auto"/>
            <w:noWrap/>
            <w:vAlign w:val="center"/>
            <w:hideMark/>
          </w:tcPr>
          <w:p w:rsidR="009D025C" w:rsidRDefault="009D025C" w:rsidP="009C5044">
            <w:pPr>
              <w:jc w:val="left"/>
              <w:rPr>
                <w:sz w:val="14"/>
                <w:szCs w:val="14"/>
              </w:rPr>
            </w:pPr>
            <w:r>
              <w:rPr>
                <w:sz w:val="14"/>
                <w:szCs w:val="14"/>
              </w:rPr>
              <w:t>4</w:t>
            </w:r>
          </w:p>
        </w:tc>
        <w:tc>
          <w:tcPr>
            <w:tcW w:w="3105" w:type="dxa"/>
            <w:tcBorders>
              <w:top w:val="nil"/>
              <w:right w:val="nil"/>
            </w:tcBorders>
            <w:shd w:val="clear" w:color="auto" w:fill="auto"/>
            <w:vAlign w:val="center"/>
          </w:tcPr>
          <w:p w:rsidR="009D025C" w:rsidRDefault="009D025C" w:rsidP="009C504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111</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182</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101</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129</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102</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144</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120</w:t>
            </w:r>
          </w:p>
        </w:tc>
        <w:tc>
          <w:tcPr>
            <w:tcW w:w="790" w:type="dxa"/>
            <w:tcBorders>
              <w:top w:val="nil"/>
              <w:left w:val="nil"/>
              <w:right w:val="nil"/>
            </w:tcBorders>
            <w:shd w:val="clear" w:color="auto" w:fill="auto"/>
            <w:noWrap/>
            <w:tcMar>
              <w:left w:w="43" w:type="dxa"/>
              <w:right w:w="43" w:type="dxa"/>
            </w:tcMar>
            <w:vAlign w:val="center"/>
            <w:hideMark/>
          </w:tcPr>
          <w:p w:rsidR="009D025C" w:rsidRPr="009D025C" w:rsidRDefault="009D025C" w:rsidP="009D025C">
            <w:pPr>
              <w:jc w:val="right"/>
              <w:rPr>
                <w:sz w:val="14"/>
                <w:szCs w:val="14"/>
              </w:rPr>
            </w:pPr>
            <w:r w:rsidRPr="009D025C">
              <w:rPr>
                <w:sz w:val="14"/>
                <w:szCs w:val="14"/>
              </w:rPr>
              <w:t>132</w:t>
            </w:r>
          </w:p>
        </w:tc>
      </w:tr>
      <w:tr w:rsidR="009D025C" w:rsidRPr="009B6E8A" w:rsidTr="009D025C">
        <w:trPr>
          <w:trHeight w:hRule="exact" w:val="236"/>
          <w:jc w:val="center"/>
        </w:trPr>
        <w:tc>
          <w:tcPr>
            <w:tcW w:w="236" w:type="dxa"/>
            <w:tcBorders>
              <w:top w:val="nil"/>
              <w:left w:val="nil"/>
            </w:tcBorders>
            <w:shd w:val="clear" w:color="auto" w:fill="auto"/>
            <w:noWrap/>
            <w:vAlign w:val="center"/>
            <w:hideMark/>
          </w:tcPr>
          <w:p w:rsidR="009D025C" w:rsidRDefault="009D025C" w:rsidP="009C5044">
            <w:pPr>
              <w:jc w:val="left"/>
              <w:rPr>
                <w:sz w:val="14"/>
                <w:szCs w:val="14"/>
              </w:rPr>
            </w:pPr>
            <w:r>
              <w:rPr>
                <w:sz w:val="14"/>
                <w:szCs w:val="14"/>
              </w:rPr>
              <w:t>5</w:t>
            </w:r>
          </w:p>
        </w:tc>
        <w:tc>
          <w:tcPr>
            <w:tcW w:w="3105" w:type="dxa"/>
            <w:tcBorders>
              <w:top w:val="nil"/>
              <w:right w:val="nil"/>
            </w:tcBorders>
            <w:shd w:val="clear" w:color="auto" w:fill="auto"/>
            <w:vAlign w:val="center"/>
          </w:tcPr>
          <w:p w:rsidR="009D025C" w:rsidRDefault="009D025C" w:rsidP="009C504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862</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125</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500</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771</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869</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802</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710</w:t>
            </w:r>
          </w:p>
        </w:tc>
        <w:tc>
          <w:tcPr>
            <w:tcW w:w="790" w:type="dxa"/>
            <w:tcBorders>
              <w:top w:val="nil"/>
              <w:left w:val="nil"/>
              <w:right w:val="nil"/>
            </w:tcBorders>
            <w:shd w:val="clear" w:color="auto" w:fill="auto"/>
            <w:noWrap/>
            <w:tcMar>
              <w:left w:w="43" w:type="dxa"/>
              <w:right w:w="43" w:type="dxa"/>
            </w:tcMar>
            <w:vAlign w:val="center"/>
            <w:hideMark/>
          </w:tcPr>
          <w:p w:rsidR="009D025C" w:rsidRPr="009D025C" w:rsidRDefault="009D025C" w:rsidP="009D025C">
            <w:pPr>
              <w:jc w:val="right"/>
              <w:rPr>
                <w:sz w:val="14"/>
                <w:szCs w:val="14"/>
              </w:rPr>
            </w:pPr>
            <w:r w:rsidRPr="009D025C">
              <w:rPr>
                <w:sz w:val="14"/>
                <w:szCs w:val="14"/>
              </w:rPr>
              <w:t>627</w:t>
            </w:r>
          </w:p>
        </w:tc>
      </w:tr>
      <w:tr w:rsidR="009D025C" w:rsidRPr="009B6E8A" w:rsidTr="009D025C">
        <w:trPr>
          <w:trHeight w:hRule="exact" w:val="236"/>
          <w:jc w:val="center"/>
        </w:trPr>
        <w:tc>
          <w:tcPr>
            <w:tcW w:w="236" w:type="dxa"/>
            <w:tcBorders>
              <w:top w:val="nil"/>
              <w:left w:val="nil"/>
            </w:tcBorders>
            <w:shd w:val="clear" w:color="auto" w:fill="auto"/>
            <w:noWrap/>
            <w:vAlign w:val="center"/>
            <w:hideMark/>
          </w:tcPr>
          <w:p w:rsidR="009D025C" w:rsidRDefault="009D025C" w:rsidP="009C5044">
            <w:pPr>
              <w:jc w:val="left"/>
              <w:rPr>
                <w:b/>
                <w:bCs/>
                <w:sz w:val="14"/>
                <w:szCs w:val="14"/>
              </w:rPr>
            </w:pPr>
            <w:r>
              <w:rPr>
                <w:b/>
                <w:bCs/>
                <w:sz w:val="14"/>
                <w:szCs w:val="14"/>
              </w:rPr>
              <w:t>6</w:t>
            </w:r>
          </w:p>
        </w:tc>
        <w:tc>
          <w:tcPr>
            <w:tcW w:w="3105" w:type="dxa"/>
            <w:tcBorders>
              <w:top w:val="nil"/>
              <w:right w:val="nil"/>
            </w:tcBorders>
            <w:shd w:val="clear" w:color="auto" w:fill="auto"/>
            <w:vAlign w:val="center"/>
          </w:tcPr>
          <w:p w:rsidR="009D025C" w:rsidRDefault="009D025C" w:rsidP="009C504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05375B">
            <w:pPr>
              <w:jc w:val="right"/>
              <w:rPr>
                <w:sz w:val="14"/>
                <w:szCs w:val="14"/>
              </w:rPr>
            </w:pPr>
            <w:r>
              <w:rPr>
                <w:sz w:val="14"/>
                <w:szCs w:val="14"/>
              </w:rPr>
              <w:t>264,627</w:t>
            </w:r>
          </w:p>
        </w:tc>
        <w:tc>
          <w:tcPr>
            <w:tcW w:w="726"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177,172</w:t>
            </w:r>
          </w:p>
        </w:tc>
        <w:tc>
          <w:tcPr>
            <w:tcW w:w="721" w:type="dxa"/>
            <w:tcBorders>
              <w:top w:val="nil"/>
              <w:left w:val="nil"/>
              <w:right w:val="nil"/>
            </w:tcBorders>
            <w:shd w:val="clear" w:color="auto" w:fill="auto"/>
            <w:noWrap/>
            <w:tcMar>
              <w:left w:w="43" w:type="dxa"/>
              <w:right w:w="43" w:type="dxa"/>
            </w:tcMar>
            <w:vAlign w:val="center"/>
            <w:hideMark/>
          </w:tcPr>
          <w:p w:rsidR="009D025C" w:rsidRDefault="009D025C" w:rsidP="009D025C">
            <w:pPr>
              <w:jc w:val="right"/>
              <w:rPr>
                <w:sz w:val="14"/>
                <w:szCs w:val="14"/>
              </w:rPr>
            </w:pPr>
            <w:r>
              <w:rPr>
                <w:sz w:val="14"/>
                <w:szCs w:val="14"/>
              </w:rPr>
              <w:t>196,256</w:t>
            </w:r>
          </w:p>
        </w:tc>
        <w:tc>
          <w:tcPr>
            <w:tcW w:w="721" w:type="dxa"/>
            <w:tcBorders>
              <w:top w:val="nil"/>
              <w:left w:val="nil"/>
              <w:right w:val="nil"/>
            </w:tcBorders>
            <w:shd w:val="clear" w:color="auto" w:fill="auto"/>
            <w:tcMar>
              <w:left w:w="43" w:type="dxa"/>
              <w:right w:w="43" w:type="dxa"/>
            </w:tcMar>
            <w:vAlign w:val="center"/>
            <w:hideMark/>
          </w:tcPr>
          <w:p w:rsidR="009D025C" w:rsidRDefault="009D025C" w:rsidP="003370AC">
            <w:pPr>
              <w:jc w:val="right"/>
              <w:rPr>
                <w:sz w:val="14"/>
                <w:szCs w:val="14"/>
              </w:rPr>
            </w:pPr>
            <w:r>
              <w:rPr>
                <w:sz w:val="14"/>
                <w:szCs w:val="14"/>
              </w:rPr>
              <w:t>203,646</w:t>
            </w:r>
          </w:p>
        </w:tc>
        <w:tc>
          <w:tcPr>
            <w:tcW w:w="819"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201,307</w:t>
            </w:r>
          </w:p>
        </w:tc>
        <w:tc>
          <w:tcPr>
            <w:tcW w:w="813"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204,511</w:t>
            </w:r>
          </w:p>
        </w:tc>
        <w:tc>
          <w:tcPr>
            <w:tcW w:w="811" w:type="dxa"/>
            <w:tcBorders>
              <w:top w:val="nil"/>
              <w:left w:val="nil"/>
              <w:right w:val="nil"/>
            </w:tcBorders>
            <w:shd w:val="clear" w:color="auto" w:fill="auto"/>
            <w:noWrap/>
            <w:tcMar>
              <w:left w:w="43" w:type="dxa"/>
              <w:right w:w="43" w:type="dxa"/>
            </w:tcMar>
            <w:vAlign w:val="center"/>
            <w:hideMark/>
          </w:tcPr>
          <w:p w:rsidR="009D025C" w:rsidRDefault="009D025C" w:rsidP="003370AC">
            <w:pPr>
              <w:jc w:val="right"/>
              <w:rPr>
                <w:sz w:val="14"/>
                <w:szCs w:val="14"/>
              </w:rPr>
            </w:pPr>
            <w:r>
              <w:rPr>
                <w:sz w:val="14"/>
                <w:szCs w:val="14"/>
              </w:rPr>
              <w:t>202,153</w:t>
            </w:r>
          </w:p>
        </w:tc>
        <w:tc>
          <w:tcPr>
            <w:tcW w:w="790" w:type="dxa"/>
            <w:tcBorders>
              <w:top w:val="nil"/>
              <w:left w:val="nil"/>
              <w:right w:val="nil"/>
            </w:tcBorders>
            <w:shd w:val="clear" w:color="auto" w:fill="auto"/>
            <w:noWrap/>
            <w:tcMar>
              <w:left w:w="43" w:type="dxa"/>
              <w:right w:w="43" w:type="dxa"/>
            </w:tcMar>
            <w:vAlign w:val="center"/>
            <w:hideMark/>
          </w:tcPr>
          <w:p w:rsidR="009D025C" w:rsidRPr="009D025C" w:rsidRDefault="009D025C" w:rsidP="009D025C">
            <w:pPr>
              <w:jc w:val="right"/>
              <w:rPr>
                <w:sz w:val="14"/>
                <w:szCs w:val="14"/>
              </w:rPr>
            </w:pPr>
            <w:r w:rsidRPr="009D025C">
              <w:rPr>
                <w:sz w:val="14"/>
                <w:szCs w:val="14"/>
              </w:rPr>
              <w:t>197,485</w:t>
            </w:r>
          </w:p>
        </w:tc>
      </w:tr>
      <w:tr w:rsidR="009D025C" w:rsidRPr="009B6E8A" w:rsidTr="009D025C">
        <w:trPr>
          <w:trHeight w:hRule="exact" w:val="236"/>
          <w:jc w:val="center"/>
        </w:trPr>
        <w:tc>
          <w:tcPr>
            <w:tcW w:w="236" w:type="dxa"/>
            <w:tcBorders>
              <w:top w:val="nil"/>
              <w:left w:val="nil"/>
              <w:bottom w:val="single" w:sz="12" w:space="0" w:color="auto"/>
            </w:tcBorders>
            <w:shd w:val="clear" w:color="auto" w:fill="auto"/>
            <w:noWrap/>
            <w:vAlign w:val="center"/>
            <w:hideMark/>
          </w:tcPr>
          <w:p w:rsidR="009D025C" w:rsidRDefault="009D025C" w:rsidP="009C504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9D025C" w:rsidRDefault="009D025C" w:rsidP="009C5044">
            <w:pPr>
              <w:jc w:val="left"/>
              <w:rPr>
                <w:b/>
                <w:bCs/>
                <w:sz w:val="14"/>
                <w:szCs w:val="14"/>
              </w:rPr>
            </w:pPr>
            <w:r>
              <w:rPr>
                <w:b/>
                <w:bCs/>
                <w:sz w:val="14"/>
                <w:szCs w:val="14"/>
              </w:rPr>
              <w:t>Currency in Circulation           (4-5-6-7)</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05375B">
            <w:pPr>
              <w:jc w:val="right"/>
              <w:rPr>
                <w:b/>
                <w:bCs/>
                <w:sz w:val="14"/>
                <w:szCs w:val="14"/>
              </w:rPr>
            </w:pPr>
            <w:r>
              <w:rPr>
                <w:b/>
                <w:bCs/>
                <w:sz w:val="14"/>
                <w:szCs w:val="14"/>
              </w:rPr>
              <w:t>3,911,315</w:t>
            </w: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3,501,067</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9D025C">
            <w:pPr>
              <w:jc w:val="right"/>
              <w:rPr>
                <w:b/>
                <w:bCs/>
                <w:sz w:val="14"/>
                <w:szCs w:val="14"/>
              </w:rPr>
            </w:pPr>
            <w:r>
              <w:rPr>
                <w:b/>
                <w:bCs/>
                <w:sz w:val="14"/>
                <w:szCs w:val="14"/>
              </w:rPr>
              <w:t>3,484,918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9D025C" w:rsidRDefault="009D025C" w:rsidP="003370AC">
            <w:pPr>
              <w:jc w:val="right"/>
              <w:rPr>
                <w:b/>
                <w:bCs/>
                <w:sz w:val="14"/>
                <w:szCs w:val="14"/>
              </w:rPr>
            </w:pPr>
            <w:r>
              <w:rPr>
                <w:b/>
                <w:bCs/>
                <w:sz w:val="14"/>
                <w:szCs w:val="14"/>
              </w:rPr>
              <w:t>3,926,868</w:t>
            </w:r>
          </w:p>
        </w:tc>
        <w:tc>
          <w:tcPr>
            <w:tcW w:w="819"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3,926,957</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3,993,781</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9D025C" w:rsidRDefault="009D025C" w:rsidP="003370AC">
            <w:pPr>
              <w:jc w:val="right"/>
              <w:rPr>
                <w:b/>
                <w:bCs/>
                <w:sz w:val="14"/>
                <w:szCs w:val="14"/>
              </w:rPr>
            </w:pPr>
            <w:r>
              <w:rPr>
                <w:b/>
                <w:bCs/>
                <w:sz w:val="14"/>
                <w:szCs w:val="14"/>
              </w:rPr>
              <w:t>4,053,248</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9D025C" w:rsidRPr="009D025C" w:rsidRDefault="009D025C" w:rsidP="009D025C">
            <w:pPr>
              <w:jc w:val="right"/>
              <w:rPr>
                <w:b/>
                <w:bCs/>
                <w:sz w:val="14"/>
                <w:szCs w:val="14"/>
              </w:rPr>
            </w:pPr>
            <w:r w:rsidRPr="009D025C">
              <w:rPr>
                <w:b/>
                <w:bCs/>
                <w:sz w:val="14"/>
                <w:szCs w:val="14"/>
              </w:rPr>
              <w:t>4,098,603</w:t>
            </w:r>
          </w:p>
        </w:tc>
      </w:tr>
      <w:tr w:rsidR="003370AC" w:rsidRPr="009B6E8A" w:rsidTr="000E5288">
        <w:trPr>
          <w:trHeight w:val="834"/>
          <w:jc w:val="center"/>
        </w:trPr>
        <w:tc>
          <w:tcPr>
            <w:tcW w:w="10400" w:type="dxa"/>
            <w:gridSpan w:val="11"/>
            <w:tcBorders>
              <w:top w:val="nil"/>
              <w:left w:val="nil"/>
              <w:right w:val="nil"/>
            </w:tcBorders>
            <w:shd w:val="clear" w:color="auto" w:fill="auto"/>
            <w:noWrap/>
            <w:hideMark/>
          </w:tcPr>
          <w:p w:rsidR="003370AC" w:rsidRPr="007A724D" w:rsidRDefault="003370AC" w:rsidP="009C5044">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3370AC" w:rsidRPr="006F5B38" w:rsidRDefault="003370A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3370AC" w:rsidRPr="006F5B38" w:rsidRDefault="003370A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3370AC" w:rsidRPr="006F5B38" w:rsidRDefault="003370AC"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9"/>
        <w:gridCol w:w="777"/>
        <w:gridCol w:w="821"/>
        <w:gridCol w:w="832"/>
        <w:gridCol w:w="810"/>
        <w:gridCol w:w="808"/>
        <w:gridCol w:w="812"/>
        <w:gridCol w:w="810"/>
        <w:gridCol w:w="900"/>
        <w:gridCol w:w="779"/>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3370AC">
        <w:trPr>
          <w:trHeight w:hRule="exact" w:val="259"/>
          <w:jc w:val="center"/>
        </w:trPr>
        <w:tc>
          <w:tcPr>
            <w:tcW w:w="3569"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326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2489" w:type="dxa"/>
            <w:gridSpan w:val="3"/>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3370AC" w:rsidRPr="00247299" w:rsidTr="003370AC">
        <w:trPr>
          <w:trHeight w:hRule="exact" w:val="259"/>
          <w:jc w:val="center"/>
        </w:trPr>
        <w:tc>
          <w:tcPr>
            <w:tcW w:w="3569" w:type="dxa"/>
            <w:vMerge/>
            <w:tcBorders>
              <w:left w:val="nil"/>
              <w:bottom w:val="single" w:sz="12" w:space="0" w:color="auto"/>
              <w:right w:val="single" w:sz="4" w:space="0" w:color="auto"/>
            </w:tcBorders>
            <w:shd w:val="clear" w:color="auto" w:fill="auto"/>
            <w:vAlign w:val="center"/>
            <w:hideMark/>
          </w:tcPr>
          <w:p w:rsidR="003370AC" w:rsidRPr="00247299" w:rsidRDefault="003370AC"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370AC" w:rsidRPr="006619BF" w:rsidRDefault="003370AC"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Feb</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DE3DF2">
            <w:pPr>
              <w:jc w:val="right"/>
              <w:rPr>
                <w:b/>
                <w:bCs/>
                <w:color w:val="auto"/>
                <w:sz w:val="14"/>
                <w:szCs w:val="14"/>
              </w:rPr>
            </w:pPr>
            <w:r>
              <w:rPr>
                <w:b/>
                <w:bCs/>
                <w:color w:val="auto"/>
                <w:sz w:val="14"/>
                <w:szCs w:val="14"/>
              </w:rPr>
              <w:t>Mar</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sidRPr="006619BF">
              <w:rPr>
                <w:b/>
                <w:bCs/>
                <w:color w:val="auto"/>
                <w:sz w:val="14"/>
                <w:szCs w:val="14"/>
              </w:rPr>
              <w:t>Nov</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Jan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r>
              <w:rPr>
                <w:b/>
                <w:bCs/>
                <w:color w:val="auto"/>
                <w:sz w:val="14"/>
                <w:szCs w:val="14"/>
              </w:rPr>
              <w:t>Feb</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3370AC" w:rsidRPr="006619BF" w:rsidRDefault="003370AC" w:rsidP="00DE3DF2">
            <w:pPr>
              <w:jc w:val="right"/>
              <w:rPr>
                <w:b/>
                <w:bCs/>
                <w:color w:val="auto"/>
                <w:sz w:val="14"/>
                <w:szCs w:val="14"/>
              </w:rPr>
            </w:pPr>
            <w:r>
              <w:rPr>
                <w:b/>
                <w:bCs/>
                <w:color w:val="auto"/>
                <w:sz w:val="14"/>
                <w:szCs w:val="14"/>
              </w:rPr>
              <w:t xml:space="preserve">Mar </w:t>
            </w:r>
            <w:r w:rsidRPr="003370AC">
              <w:rPr>
                <w:b/>
                <w:bCs/>
                <w:color w:val="auto"/>
                <w:sz w:val="14"/>
                <w:szCs w:val="14"/>
                <w:vertAlign w:val="superscript"/>
              </w:rPr>
              <w:t>P</w:t>
            </w:r>
          </w:p>
        </w:tc>
      </w:tr>
      <w:tr w:rsidR="003370AC" w:rsidRPr="00247299" w:rsidTr="003370AC">
        <w:trPr>
          <w:trHeight w:hRule="exact" w:val="230"/>
          <w:jc w:val="center"/>
        </w:trPr>
        <w:tc>
          <w:tcPr>
            <w:tcW w:w="3569" w:type="dxa"/>
            <w:tcBorders>
              <w:top w:val="single" w:sz="12" w:space="0" w:color="auto"/>
              <w:left w:val="nil"/>
              <w:bottom w:val="nil"/>
              <w:right w:val="nil"/>
            </w:tcBorders>
            <w:shd w:val="clear" w:color="auto" w:fill="auto"/>
            <w:tcMar>
              <w:left w:w="86" w:type="dxa"/>
              <w:right w:w="29" w:type="dxa"/>
            </w:tcMar>
            <w:vAlign w:val="center"/>
            <w:hideMark/>
          </w:tcPr>
          <w:p w:rsidR="003370AC" w:rsidRPr="00AC5C7D" w:rsidRDefault="003370AC"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3370AC">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9C504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3370AC">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3370AC">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247299" w:rsidRDefault="003370AC" w:rsidP="003370AC">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3370AC" w:rsidRPr="00247299" w:rsidRDefault="003370AC" w:rsidP="009C5044">
            <w:pPr>
              <w:jc w:val="right"/>
              <w:rPr>
                <w:rFonts w:ascii="Calibri" w:hAnsi="Calibri"/>
                <w:sz w:val="22"/>
                <w:szCs w:val="22"/>
              </w:rPr>
            </w:pP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3,501,067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3,484,918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3,926,868</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3,926,957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3,993,781</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4,053,248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4,098,603</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18,769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18,818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22,581</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22,624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22,914</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22,737</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22,983</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9,707,064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10,077,179</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10,554,386</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10,967,683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10,651,824</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10,647,534</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11,161,716</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0E5288" w:rsidRPr="005D516E" w:rsidRDefault="000E5288"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597,567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i/>
                <w:iCs/>
                <w:sz w:val="14"/>
                <w:szCs w:val="14"/>
              </w:rPr>
            </w:pPr>
            <w:r>
              <w:rPr>
                <w:i/>
                <w:iCs/>
                <w:sz w:val="14"/>
                <w:szCs w:val="14"/>
              </w:rPr>
              <w:t>602,089</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705,014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730,162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735,612</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741,541</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i/>
                <w:iCs/>
                <w:sz w:val="14"/>
                <w:szCs w:val="14"/>
              </w:rPr>
            </w:pPr>
            <w:r>
              <w:rPr>
                <w:i/>
                <w:iCs/>
                <w:sz w:val="14"/>
                <w:szCs w:val="14"/>
              </w:rPr>
              <w:t>780,281</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13,226,899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13,580,915</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14,503,835</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14,917,263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14,668,520</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14,723,518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15,283,302</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20"/>
              </w:rPr>
            </w:pP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E4757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771,167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722,779</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269,053</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427,633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309,012</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211,288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118,992</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918,173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877,860</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571,534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642,399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543,853</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430,973</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364,599</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(147,006)</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(155,082)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(302,482)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(214,767)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(234,841)</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(219,686)</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(245,607)</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E4757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12,455,732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12,858,137</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14,234,782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14,489,630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14,359,508</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14,512,230</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15,164,310</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2,839,823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2,908,910</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3,708,658</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3,679,719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3,824,479</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3,956,633</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4,132,160</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9,615,910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9,949,226</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10,526,124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10,809,911</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10,535,028</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10,555,597</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11,032,150</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8,347,086</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8,388,286</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9,319,674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9,256,163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9,198,623</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9,240,669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9,672,114</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7,850,551</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7,898,858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8,659,586</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8,595,263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8,554,817</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8,608,051</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9,052,656</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2,393,528</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2,243,832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2,468,304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2,347,380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3,253,035</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2,786,158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4,511,578</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2,711,773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2,644,550</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2,754,809</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2,602,428</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3,521,780</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3,074,519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4,749,712</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(294,184)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(159,460)</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(257,291)</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(12,470)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(17,388)</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(608,147)</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(15,348)</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(303,108)</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(390,086)</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(276,761)</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(247,782)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(259,227)</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(273,622)</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(226,928)</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(40,429)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(41,201)</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(37,796)</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(39,238)</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(42,528)</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(41,786)</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(40,155)</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(58,043)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(71,242)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(47,859)</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(53,043)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(54,617)</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(67,870)</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(61,825)</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(99,471)</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(170,441)</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(102,104)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(79,162)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(81,892)</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(82,567)</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(69,243)</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(105,165)</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(107,201)</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(89,002)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(76,340)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(80,189)</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(81,398)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(55,706)</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580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4,078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3,065</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4,587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4,819</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329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3,900</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(15,717)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(14,711)</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(12,809)</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(11,853)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(14,337)</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(15,068)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(15,106)</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5,457,022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5,655,026</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6,191,282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6,247,883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5,301,782</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5,821,893</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4,541,078</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6,065,942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6,286,432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6,894,352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6,988,946</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6,044,156</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6,550,077</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5,281,861</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(774,355)</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(783,223)</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(935,462)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(927,362)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(1,021,491)</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(1,017,383)</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(1,017,458)</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(608,920)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(631,406)</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(703,070)</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(741,063)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(742,374)</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(728,184)</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(740,782)</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(609,944)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(632,430)</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(704,094)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(742,087)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(743,398)</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(729,209)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(741,807)</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506,217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498,674</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673,006</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671,924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655,141</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641,572</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628,066</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(9,682)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(9,247)</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(12,919)</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(11,025)</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(11,335)</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(8,954)</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(8,608)</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5,415,898</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5,651,659</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6,087,013</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6,374,033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6,359,972</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6,453,189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6,659,489</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4,753,682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4,888,102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5,295,913</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5,493,761</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5,429,886</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5,509,969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5,671,126</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3,867,470</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3,975,558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4,312,724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4,476,656</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4,387,045</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4,445,563</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4,577,098</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586,383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606,583</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626,567</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644,897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642,434</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652,231</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670,299</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299,829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305,962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356,622</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372,208</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400,407</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412,174</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423,729</w:t>
            </w:r>
          </w:p>
        </w:tc>
      </w:tr>
      <w:tr w:rsidR="000E5288" w:rsidRPr="00247299" w:rsidTr="000E5288">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0E5288" w:rsidRPr="00AC5C7D" w:rsidRDefault="000E5288"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664,057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765,039</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799,936</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888,841</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938,378</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951,378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996,435</w:t>
            </w:r>
          </w:p>
        </w:tc>
      </w:tr>
      <w:tr w:rsidR="000E5288" w:rsidRPr="00247299" w:rsidTr="000E5288">
        <w:trPr>
          <w:trHeight w:hRule="exact" w:val="189"/>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49172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(24,244)</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22,403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22,762</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15,409</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15,674</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15,952</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16,085</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16,171</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(1,307,252)</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(1,181,808)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(1,171,905)</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(1,140,565)</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(1,199,087)</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(1,181,627)</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(1,167,292)</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13,226,899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b/>
                <w:bCs/>
                <w:sz w:val="14"/>
                <w:szCs w:val="14"/>
              </w:rPr>
            </w:pPr>
            <w:r>
              <w:rPr>
                <w:b/>
                <w:bCs/>
                <w:sz w:val="14"/>
                <w:szCs w:val="14"/>
              </w:rPr>
              <w:t>13,580,915</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14,503,835</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14,917,263</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14,668,520</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b/>
                <w:bCs/>
                <w:sz w:val="14"/>
                <w:szCs w:val="14"/>
              </w:rPr>
            </w:pPr>
            <w:r>
              <w:rPr>
                <w:b/>
                <w:bCs/>
                <w:sz w:val="14"/>
                <w:szCs w:val="14"/>
              </w:rPr>
              <w:t>14,723,518</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b/>
                <w:bCs/>
                <w:sz w:val="14"/>
                <w:szCs w:val="14"/>
              </w:rPr>
            </w:pPr>
            <w:r>
              <w:rPr>
                <w:b/>
                <w:bCs/>
                <w:sz w:val="14"/>
                <w:szCs w:val="14"/>
              </w:rPr>
              <w:t>15,283,302</w:t>
            </w: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20"/>
              </w:rPr>
            </w:pPr>
          </w:p>
        </w:tc>
      </w:tr>
      <w:tr w:rsidR="000E5288" w:rsidRPr="00247299" w:rsidTr="000E5288">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0E5288" w:rsidRPr="00AC5C7D" w:rsidRDefault="000E5288"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43,999</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39,898</w:t>
            </w:r>
          </w:p>
        </w:tc>
        <w:tc>
          <w:tcPr>
            <w:tcW w:w="808"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47,710</w:t>
            </w:r>
          </w:p>
        </w:tc>
        <w:tc>
          <w:tcPr>
            <w:tcW w:w="812"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50,387</w:t>
            </w:r>
          </w:p>
        </w:tc>
        <w:tc>
          <w:tcPr>
            <w:tcW w:w="81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25,056</w:t>
            </w:r>
          </w:p>
        </w:tc>
        <w:tc>
          <w:tcPr>
            <w:tcW w:w="900" w:type="dxa"/>
            <w:tcBorders>
              <w:top w:val="nil"/>
              <w:left w:val="nil"/>
              <w:bottom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41,669</w:t>
            </w:r>
          </w:p>
        </w:tc>
        <w:tc>
          <w:tcPr>
            <w:tcW w:w="779" w:type="dxa"/>
            <w:tcBorders>
              <w:top w:val="nil"/>
              <w:left w:val="nil"/>
              <w:bottom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52,064</w:t>
            </w:r>
          </w:p>
        </w:tc>
      </w:tr>
      <w:tr w:rsidR="000E5288" w:rsidRPr="00247299" w:rsidTr="000E5288">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0E5288" w:rsidRPr="00AC5C7D" w:rsidRDefault="000E5288"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3,252,336</w:t>
            </w:r>
          </w:p>
        </w:tc>
        <w:tc>
          <w:tcPr>
            <w:tcW w:w="810" w:type="dxa"/>
            <w:tcBorders>
              <w:top w:val="nil"/>
              <w:left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3,455,137</w:t>
            </w:r>
          </w:p>
        </w:tc>
        <w:tc>
          <w:tcPr>
            <w:tcW w:w="808"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4,462,595</w:t>
            </w:r>
          </w:p>
        </w:tc>
        <w:tc>
          <w:tcPr>
            <w:tcW w:w="812"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4,535,468</w:t>
            </w:r>
          </w:p>
        </w:tc>
        <w:tc>
          <w:tcPr>
            <w:tcW w:w="810"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3,740,720</w:t>
            </w:r>
          </w:p>
        </w:tc>
        <w:tc>
          <w:tcPr>
            <w:tcW w:w="900"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4,270,555</w:t>
            </w:r>
          </w:p>
        </w:tc>
        <w:tc>
          <w:tcPr>
            <w:tcW w:w="779" w:type="dxa"/>
            <w:tcBorders>
              <w:top w:val="nil"/>
              <w:left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3,442,616</w:t>
            </w:r>
          </w:p>
        </w:tc>
      </w:tr>
      <w:tr w:rsidR="000E5288" w:rsidRPr="00247299" w:rsidTr="000E5288">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0E5288" w:rsidRPr="00B53708" w:rsidRDefault="000E5288"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0E5288" w:rsidRPr="0018778B" w:rsidRDefault="000E5288"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0E5288" w:rsidRDefault="000E5288" w:rsidP="005D6F97">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7,759,430</w:t>
            </w:r>
          </w:p>
        </w:tc>
        <w:tc>
          <w:tcPr>
            <w:tcW w:w="810" w:type="dxa"/>
            <w:tcBorders>
              <w:top w:val="nil"/>
              <w:left w:val="nil"/>
              <w:right w:val="nil"/>
            </w:tcBorders>
            <w:shd w:val="clear" w:color="auto" w:fill="auto"/>
            <w:tcMar>
              <w:left w:w="43" w:type="dxa"/>
              <w:right w:w="43" w:type="dxa"/>
            </w:tcMar>
            <w:vAlign w:val="center"/>
            <w:hideMark/>
          </w:tcPr>
          <w:p w:rsidR="000E5288" w:rsidRDefault="000E5288" w:rsidP="000E5288">
            <w:pPr>
              <w:jc w:val="right"/>
              <w:rPr>
                <w:sz w:val="14"/>
                <w:szCs w:val="14"/>
              </w:rPr>
            </w:pPr>
            <w:r>
              <w:rPr>
                <w:sz w:val="14"/>
                <w:szCs w:val="14"/>
              </w:rPr>
              <w:t>7,811,714</w:t>
            </w:r>
          </w:p>
        </w:tc>
        <w:tc>
          <w:tcPr>
            <w:tcW w:w="808"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8,571,457</w:t>
            </w:r>
          </w:p>
        </w:tc>
        <w:tc>
          <w:tcPr>
            <w:tcW w:w="812"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8,494,803</w:t>
            </w:r>
          </w:p>
        </w:tc>
        <w:tc>
          <w:tcPr>
            <w:tcW w:w="810"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8,497,555</w:t>
            </w:r>
          </w:p>
        </w:tc>
        <w:tc>
          <w:tcPr>
            <w:tcW w:w="900"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sz w:val="14"/>
                <w:szCs w:val="14"/>
              </w:rPr>
            </w:pPr>
            <w:r>
              <w:rPr>
                <w:sz w:val="14"/>
                <w:szCs w:val="14"/>
              </w:rPr>
              <w:t>8,547,349</w:t>
            </w:r>
          </w:p>
        </w:tc>
        <w:tc>
          <w:tcPr>
            <w:tcW w:w="779" w:type="dxa"/>
            <w:tcBorders>
              <w:top w:val="nil"/>
              <w:left w:val="nil"/>
              <w:right w:val="nil"/>
            </w:tcBorders>
            <w:shd w:val="clear" w:color="auto" w:fill="auto"/>
            <w:noWrap/>
            <w:tcMar>
              <w:left w:w="43" w:type="dxa"/>
              <w:right w:w="43" w:type="dxa"/>
            </w:tcMar>
            <w:vAlign w:val="center"/>
            <w:hideMark/>
          </w:tcPr>
          <w:p w:rsidR="000E5288" w:rsidRDefault="000E5288" w:rsidP="000E5288">
            <w:pPr>
              <w:jc w:val="right"/>
              <w:rPr>
                <w:sz w:val="14"/>
                <w:szCs w:val="14"/>
              </w:rPr>
            </w:pPr>
            <w:r>
              <w:rPr>
                <w:sz w:val="14"/>
                <w:szCs w:val="14"/>
              </w:rPr>
              <w:t>8,976,557</w:t>
            </w:r>
          </w:p>
        </w:tc>
      </w:tr>
      <w:tr w:rsidR="000E5288" w:rsidRPr="00247299" w:rsidTr="000E5288">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0E5288" w:rsidRPr="0018778B" w:rsidRDefault="000E5288"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0E5288" w:rsidRPr="0018778B" w:rsidRDefault="000E5288"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0E5288" w:rsidRDefault="000E5288" w:rsidP="005D6F97">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2,349,529</w:t>
            </w:r>
          </w:p>
        </w:tc>
        <w:tc>
          <w:tcPr>
            <w:tcW w:w="810" w:type="dxa"/>
            <w:tcBorders>
              <w:top w:val="nil"/>
              <w:left w:val="nil"/>
              <w:right w:val="nil"/>
            </w:tcBorders>
            <w:shd w:val="clear" w:color="auto" w:fill="auto"/>
            <w:tcMar>
              <w:left w:w="43" w:type="dxa"/>
              <w:right w:w="43" w:type="dxa"/>
            </w:tcMar>
            <w:vAlign w:val="center"/>
            <w:hideMark/>
          </w:tcPr>
          <w:p w:rsidR="000E5288" w:rsidRDefault="000E5288" w:rsidP="000E5288">
            <w:pPr>
              <w:jc w:val="right"/>
              <w:rPr>
                <w:i/>
                <w:iCs/>
                <w:sz w:val="14"/>
                <w:szCs w:val="14"/>
              </w:rPr>
            </w:pPr>
            <w:r>
              <w:rPr>
                <w:i/>
                <w:iCs/>
                <w:sz w:val="14"/>
                <w:szCs w:val="14"/>
              </w:rPr>
              <w:t>2,203,934</w:t>
            </w:r>
          </w:p>
        </w:tc>
        <w:tc>
          <w:tcPr>
            <w:tcW w:w="808"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2,420,594</w:t>
            </w:r>
          </w:p>
        </w:tc>
        <w:tc>
          <w:tcPr>
            <w:tcW w:w="812"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2,296,993</w:t>
            </w:r>
          </w:p>
        </w:tc>
        <w:tc>
          <w:tcPr>
            <w:tcW w:w="810"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3,227,980</w:t>
            </w:r>
          </w:p>
        </w:tc>
        <w:tc>
          <w:tcPr>
            <w:tcW w:w="900" w:type="dxa"/>
            <w:tcBorders>
              <w:top w:val="nil"/>
              <w:left w:val="nil"/>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2,744,489</w:t>
            </w:r>
          </w:p>
        </w:tc>
        <w:tc>
          <w:tcPr>
            <w:tcW w:w="779" w:type="dxa"/>
            <w:tcBorders>
              <w:top w:val="nil"/>
              <w:left w:val="nil"/>
              <w:right w:val="nil"/>
            </w:tcBorders>
            <w:shd w:val="clear" w:color="auto" w:fill="auto"/>
            <w:noWrap/>
            <w:tcMar>
              <w:left w:w="43" w:type="dxa"/>
              <w:right w:w="43" w:type="dxa"/>
            </w:tcMar>
            <w:vAlign w:val="center"/>
            <w:hideMark/>
          </w:tcPr>
          <w:p w:rsidR="000E5288" w:rsidRDefault="000E5288" w:rsidP="000E5288">
            <w:pPr>
              <w:jc w:val="right"/>
              <w:rPr>
                <w:i/>
                <w:iCs/>
                <w:sz w:val="14"/>
                <w:szCs w:val="14"/>
              </w:rPr>
            </w:pPr>
            <w:r>
              <w:rPr>
                <w:i/>
                <w:iCs/>
                <w:sz w:val="14"/>
                <w:szCs w:val="14"/>
              </w:rPr>
              <w:t>4,459,514</w:t>
            </w:r>
          </w:p>
        </w:tc>
      </w:tr>
      <w:tr w:rsidR="000E5288" w:rsidRPr="00247299" w:rsidTr="000E5288">
        <w:trPr>
          <w:trHeight w:hRule="exact" w:val="230"/>
          <w:jc w:val="center"/>
        </w:trPr>
        <w:tc>
          <w:tcPr>
            <w:tcW w:w="3569" w:type="dxa"/>
            <w:tcBorders>
              <w:left w:val="nil"/>
              <w:bottom w:val="single" w:sz="12" w:space="0" w:color="auto"/>
              <w:right w:val="nil"/>
            </w:tcBorders>
            <w:shd w:val="clear" w:color="auto" w:fill="auto"/>
            <w:noWrap/>
            <w:tcMar>
              <w:left w:w="86" w:type="dxa"/>
              <w:right w:w="29" w:type="dxa"/>
            </w:tcMar>
            <w:vAlign w:val="center"/>
            <w:hideMark/>
          </w:tcPr>
          <w:p w:rsidR="000E5288" w:rsidRPr="0018778B" w:rsidRDefault="000E5288"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0E5288" w:rsidRPr="0018778B" w:rsidRDefault="000E5288"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0E5288" w:rsidRDefault="000E5288" w:rsidP="005D6F97">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5,409,901</w:t>
            </w:r>
          </w:p>
        </w:tc>
        <w:tc>
          <w:tcPr>
            <w:tcW w:w="810" w:type="dxa"/>
            <w:tcBorders>
              <w:left w:val="nil"/>
              <w:bottom w:val="single" w:sz="12" w:space="0" w:color="auto"/>
              <w:right w:val="nil"/>
            </w:tcBorders>
            <w:shd w:val="clear" w:color="auto" w:fill="auto"/>
            <w:tcMar>
              <w:left w:w="43" w:type="dxa"/>
              <w:right w:w="43" w:type="dxa"/>
            </w:tcMar>
            <w:vAlign w:val="center"/>
            <w:hideMark/>
          </w:tcPr>
          <w:p w:rsidR="000E5288" w:rsidRDefault="000E5288" w:rsidP="000E5288">
            <w:pPr>
              <w:jc w:val="right"/>
              <w:rPr>
                <w:i/>
                <w:iCs/>
                <w:sz w:val="14"/>
                <w:szCs w:val="14"/>
              </w:rPr>
            </w:pPr>
            <w:r>
              <w:rPr>
                <w:i/>
                <w:iCs/>
                <w:sz w:val="14"/>
                <w:szCs w:val="14"/>
              </w:rPr>
              <w:t>5,607,780</w:t>
            </w:r>
          </w:p>
        </w:tc>
        <w:tc>
          <w:tcPr>
            <w:tcW w:w="808" w:type="dxa"/>
            <w:tcBorders>
              <w:left w:val="nil"/>
              <w:bottom w:val="single" w:sz="12" w:space="0" w:color="auto"/>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6,150,863</w:t>
            </w:r>
          </w:p>
        </w:tc>
        <w:tc>
          <w:tcPr>
            <w:tcW w:w="812" w:type="dxa"/>
            <w:tcBorders>
              <w:left w:val="nil"/>
              <w:bottom w:val="single" w:sz="12" w:space="0" w:color="auto"/>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6,197,810</w:t>
            </w:r>
          </w:p>
        </w:tc>
        <w:tc>
          <w:tcPr>
            <w:tcW w:w="810" w:type="dxa"/>
            <w:tcBorders>
              <w:left w:val="nil"/>
              <w:bottom w:val="single" w:sz="12" w:space="0" w:color="auto"/>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5,269,576</w:t>
            </w:r>
          </w:p>
        </w:tc>
        <w:tc>
          <w:tcPr>
            <w:tcW w:w="900" w:type="dxa"/>
            <w:tcBorders>
              <w:left w:val="nil"/>
              <w:bottom w:val="single" w:sz="12" w:space="0" w:color="auto"/>
              <w:right w:val="nil"/>
            </w:tcBorders>
            <w:shd w:val="clear" w:color="auto" w:fill="auto"/>
            <w:tcMar>
              <w:left w:w="43" w:type="dxa"/>
              <w:right w:w="43" w:type="dxa"/>
            </w:tcMar>
            <w:vAlign w:val="center"/>
            <w:hideMark/>
          </w:tcPr>
          <w:p w:rsidR="000E5288" w:rsidRDefault="000E5288" w:rsidP="003370AC">
            <w:pPr>
              <w:jc w:val="right"/>
              <w:rPr>
                <w:i/>
                <w:iCs/>
                <w:sz w:val="14"/>
                <w:szCs w:val="14"/>
              </w:rPr>
            </w:pPr>
            <w:r>
              <w:rPr>
                <w:i/>
                <w:iCs/>
                <w:sz w:val="14"/>
                <w:szCs w:val="14"/>
              </w:rPr>
              <w:t>5,802,860</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0E5288" w:rsidRDefault="000E5288" w:rsidP="000E5288">
            <w:pPr>
              <w:jc w:val="right"/>
              <w:rPr>
                <w:i/>
                <w:iCs/>
                <w:sz w:val="14"/>
                <w:szCs w:val="14"/>
              </w:rPr>
            </w:pPr>
            <w:r>
              <w:rPr>
                <w:i/>
                <w:iCs/>
                <w:sz w:val="14"/>
                <w:szCs w:val="14"/>
              </w:rPr>
              <w:t>4,517,043</w:t>
            </w:r>
          </w:p>
        </w:tc>
      </w:tr>
      <w:tr w:rsidR="003370AC" w:rsidRPr="00247299" w:rsidTr="008E70CB">
        <w:trPr>
          <w:trHeight w:hRule="exact" w:val="174"/>
          <w:jc w:val="center"/>
        </w:trPr>
        <w:tc>
          <w:tcPr>
            <w:tcW w:w="10918" w:type="dxa"/>
            <w:gridSpan w:val="10"/>
            <w:tcBorders>
              <w:top w:val="single" w:sz="12" w:space="0" w:color="auto"/>
              <w:left w:val="nil"/>
              <w:right w:val="nil"/>
            </w:tcBorders>
            <w:shd w:val="clear" w:color="auto" w:fill="auto"/>
            <w:noWrap/>
            <w:vAlign w:val="bottom"/>
            <w:hideMark/>
          </w:tcPr>
          <w:p w:rsidR="003370AC" w:rsidRPr="00247299" w:rsidRDefault="003370AC" w:rsidP="009C5044">
            <w:pPr>
              <w:jc w:val="right"/>
              <w:rPr>
                <w:color w:val="auto"/>
                <w:sz w:val="14"/>
                <w:szCs w:val="14"/>
              </w:rPr>
            </w:pPr>
            <w:r>
              <w:rPr>
                <w:sz w:val="14"/>
                <w:szCs w:val="14"/>
              </w:rPr>
              <w:t>Source: Statistics &amp; Data Warehouse Department SBP</w:t>
            </w:r>
            <w:r w:rsidRPr="00247299">
              <w:rPr>
                <w:color w:val="auto"/>
                <w:sz w:val="14"/>
                <w:szCs w:val="14"/>
              </w:rPr>
              <w:t> </w:t>
            </w:r>
          </w:p>
          <w:p w:rsidR="003370AC" w:rsidRPr="00247299" w:rsidRDefault="003370AC" w:rsidP="009C5044">
            <w:pPr>
              <w:jc w:val="right"/>
              <w:rPr>
                <w:rFonts w:ascii="Calibri" w:hAnsi="Calibri"/>
                <w:sz w:val="22"/>
                <w:szCs w:val="22"/>
              </w:rPr>
            </w:pPr>
            <w:r w:rsidRPr="00247299">
              <w:rPr>
                <w:i/>
                <w:iCs/>
                <w:color w:val="auto"/>
                <w:sz w:val="14"/>
                <w:szCs w:val="14"/>
              </w:rPr>
              <w:t> </w:t>
            </w:r>
          </w:p>
        </w:tc>
      </w:tr>
      <w:tr w:rsidR="003370AC" w:rsidRPr="00247299" w:rsidTr="00491725">
        <w:trPr>
          <w:trHeight w:val="819"/>
          <w:jc w:val="center"/>
        </w:trPr>
        <w:tc>
          <w:tcPr>
            <w:tcW w:w="10918" w:type="dxa"/>
            <w:gridSpan w:val="10"/>
            <w:tcBorders>
              <w:top w:val="nil"/>
              <w:left w:val="nil"/>
              <w:bottom w:val="nil"/>
              <w:right w:val="nil"/>
            </w:tcBorders>
            <w:shd w:val="clear" w:color="auto" w:fill="auto"/>
            <w:hideMark/>
          </w:tcPr>
          <w:p w:rsidR="003370AC" w:rsidRDefault="003370AC"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3370AC" w:rsidRDefault="003370AC" w:rsidP="009C5044">
            <w:pPr>
              <w:ind w:left="162" w:hanging="180"/>
              <w:jc w:val="left"/>
              <w:rPr>
                <w:color w:val="auto"/>
                <w:sz w:val="14"/>
                <w:szCs w:val="14"/>
              </w:rPr>
            </w:pPr>
            <w:r w:rsidRPr="007114E7">
              <w:rPr>
                <w:color w:val="auto"/>
                <w:sz w:val="14"/>
                <w:szCs w:val="14"/>
              </w:rPr>
              <w:t>Note:-</w:t>
            </w:r>
          </w:p>
          <w:p w:rsidR="003370AC" w:rsidRDefault="003370AC"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3370AC" w:rsidRDefault="003370AC"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3370AC" w:rsidRDefault="003370AC"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3370AC" w:rsidRDefault="003370AC" w:rsidP="009C5044">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p w:rsidR="003370AC" w:rsidRPr="004B7881" w:rsidRDefault="003370AC" w:rsidP="009C5044">
            <w:pPr>
              <w:ind w:left="162" w:hanging="180"/>
              <w:jc w:val="left"/>
              <w:rPr>
                <w:color w:val="auto"/>
                <w:sz w:val="14"/>
                <w:szCs w:val="14"/>
              </w:rPr>
            </w:pPr>
            <w:r w:rsidRPr="00A276A4">
              <w:rPr>
                <w:color w:val="auto"/>
                <w:sz w:val="14"/>
                <w:szCs w:val="14"/>
              </w:rPr>
              <w:t>**Includes investment of Rs. 100,149 million in Pakistan Security Printing Corporation (PSPC)</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E74233">
        <w:trPr>
          <w:cantSplit/>
          <w:trHeight w:hRule="exact" w:val="390"/>
          <w:jc w:val="center"/>
        </w:trPr>
        <w:tc>
          <w:tcPr>
            <w:tcW w:w="2608" w:type="pct"/>
            <w:vMerge w:val="restart"/>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single" w:sz="4" w:space="0" w:color="auto"/>
              <w:bottom w:val="single" w:sz="4"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E74233">
        <w:trPr>
          <w:trHeight w:hRule="exact" w:val="624"/>
          <w:jc w:val="center"/>
        </w:trPr>
        <w:tc>
          <w:tcPr>
            <w:tcW w:w="2608" w:type="pct"/>
            <w:vMerge/>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8E70CB">
            <w:pPr>
              <w:rPr>
                <w:b/>
                <w:bCs/>
                <w:color w:val="auto"/>
                <w:szCs w:val="16"/>
              </w:rPr>
            </w:pPr>
            <w:r w:rsidRPr="006619BF">
              <w:rPr>
                <w:b/>
                <w:bCs/>
                <w:color w:val="auto"/>
                <w:szCs w:val="16"/>
              </w:rPr>
              <w:t>30-Jun-17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30-Jun-16</w:t>
            </w:r>
          </w:p>
        </w:tc>
        <w:tc>
          <w:tcPr>
            <w:tcW w:w="625" w:type="pct"/>
            <w:tcBorders>
              <w:top w:val="nil"/>
              <w:left w:val="single" w:sz="4" w:space="0" w:color="auto"/>
              <w:bottom w:val="single" w:sz="12" w:space="0" w:color="auto"/>
              <w:right w:val="single" w:sz="4" w:space="0" w:color="auto"/>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7</w:t>
            </w:r>
          </w:p>
          <w:p w:rsidR="00601FB0" w:rsidRPr="006619BF" w:rsidRDefault="00601FB0" w:rsidP="00601FB0">
            <w:pPr>
              <w:rPr>
                <w:b/>
                <w:bCs/>
                <w:color w:val="auto"/>
                <w:szCs w:val="16"/>
              </w:rPr>
            </w:pPr>
            <w:r w:rsidRPr="006619BF">
              <w:rPr>
                <w:b/>
                <w:bCs/>
                <w:color w:val="auto"/>
                <w:szCs w:val="16"/>
              </w:rPr>
              <w:t>to</w:t>
            </w:r>
          </w:p>
          <w:p w:rsidR="00601FB0" w:rsidRPr="006619BF" w:rsidRDefault="008E70CB" w:rsidP="008E70CB">
            <w:pPr>
              <w:rPr>
                <w:b/>
                <w:bCs/>
                <w:color w:val="auto"/>
                <w:szCs w:val="16"/>
              </w:rPr>
            </w:pPr>
            <w:r>
              <w:rPr>
                <w:b/>
                <w:bCs/>
                <w:color w:val="auto"/>
                <w:szCs w:val="16"/>
              </w:rPr>
              <w:t>3</w:t>
            </w:r>
            <w:r w:rsidR="000E0278">
              <w:rPr>
                <w:b/>
                <w:bCs/>
                <w:color w:val="auto"/>
                <w:szCs w:val="16"/>
              </w:rPr>
              <w:t>1</w:t>
            </w:r>
            <w:r w:rsidR="000E0278">
              <w:rPr>
                <w:b/>
                <w:bCs/>
                <w:color w:val="auto"/>
                <w:szCs w:val="16"/>
                <w:vertAlign w:val="superscript"/>
              </w:rPr>
              <w:t>st</w:t>
            </w:r>
            <w:r w:rsidR="00601FB0" w:rsidRPr="006619BF">
              <w:rPr>
                <w:b/>
                <w:bCs/>
                <w:color w:val="auto"/>
                <w:szCs w:val="16"/>
              </w:rPr>
              <w:t xml:space="preserve"> </w:t>
            </w:r>
            <w:r w:rsidR="000E0278">
              <w:rPr>
                <w:b/>
                <w:bCs/>
                <w:color w:val="auto"/>
                <w:szCs w:val="16"/>
              </w:rPr>
              <w:t>Mar</w:t>
            </w:r>
            <w:r w:rsidR="00601FB0" w:rsidRPr="006619BF">
              <w:rPr>
                <w:b/>
                <w:bCs/>
                <w:color w:val="auto"/>
                <w:szCs w:val="16"/>
              </w:rPr>
              <w:t xml:space="preserve"> </w:t>
            </w:r>
            <w:r w:rsidR="005D6F97">
              <w:rPr>
                <w:b/>
                <w:bCs/>
                <w:color w:val="auto"/>
                <w:szCs w:val="16"/>
              </w:rPr>
              <w:t>18</w:t>
            </w:r>
          </w:p>
        </w:tc>
        <w:tc>
          <w:tcPr>
            <w:tcW w:w="630" w:type="pct"/>
            <w:tcBorders>
              <w:top w:val="nil"/>
              <w:left w:val="single" w:sz="4" w:space="0" w:color="auto"/>
              <w:bottom w:val="single" w:sz="12" w:space="0" w:color="auto"/>
              <w:right w:val="nil"/>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6</w:t>
            </w:r>
          </w:p>
          <w:p w:rsidR="00601FB0" w:rsidRPr="006619BF" w:rsidRDefault="00601FB0" w:rsidP="00601FB0">
            <w:pPr>
              <w:rPr>
                <w:b/>
                <w:bCs/>
                <w:color w:val="auto"/>
                <w:szCs w:val="16"/>
              </w:rPr>
            </w:pPr>
            <w:r w:rsidRPr="006619BF">
              <w:rPr>
                <w:b/>
                <w:bCs/>
                <w:color w:val="auto"/>
                <w:szCs w:val="16"/>
              </w:rPr>
              <w:t>to</w:t>
            </w:r>
          </w:p>
          <w:p w:rsidR="00601FB0" w:rsidRPr="006619BF" w:rsidRDefault="000E0278" w:rsidP="000E0278">
            <w:pPr>
              <w:rPr>
                <w:b/>
                <w:bCs/>
                <w:color w:val="auto"/>
                <w:szCs w:val="16"/>
              </w:rPr>
            </w:pPr>
            <w:r>
              <w:rPr>
                <w:b/>
                <w:bCs/>
                <w:color w:val="auto"/>
                <w:szCs w:val="16"/>
              </w:rPr>
              <w:t>31</w:t>
            </w:r>
            <w:r>
              <w:rPr>
                <w:b/>
                <w:bCs/>
                <w:color w:val="auto"/>
                <w:szCs w:val="16"/>
                <w:vertAlign w:val="superscript"/>
              </w:rPr>
              <w:t>st</w:t>
            </w:r>
            <w:r w:rsidR="00712E51" w:rsidRPr="006619BF">
              <w:rPr>
                <w:b/>
                <w:bCs/>
                <w:color w:val="auto"/>
                <w:szCs w:val="16"/>
              </w:rPr>
              <w:t xml:space="preserve"> </w:t>
            </w:r>
            <w:r>
              <w:rPr>
                <w:b/>
                <w:bCs/>
                <w:color w:val="auto"/>
                <w:szCs w:val="16"/>
              </w:rPr>
              <w:t>Mar</w:t>
            </w:r>
            <w:r w:rsidR="00712E51" w:rsidRPr="006619BF">
              <w:rPr>
                <w:b/>
                <w:bCs/>
                <w:color w:val="auto"/>
                <w:szCs w:val="16"/>
              </w:rPr>
              <w:t xml:space="preserve"> </w:t>
            </w:r>
            <w:r w:rsidR="00601FB0" w:rsidRPr="006619BF">
              <w:rPr>
                <w:b/>
                <w:bCs/>
                <w:color w:val="auto"/>
                <w:szCs w:val="16"/>
              </w:rPr>
              <w:t>1</w:t>
            </w:r>
            <w:r w:rsidR="005D6F97">
              <w:rPr>
                <w:b/>
                <w:bCs/>
                <w:color w:val="auto"/>
                <w:szCs w:val="16"/>
              </w:rPr>
              <w:t>7</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C62A4E" w:rsidRDefault="00C62A4E" w:rsidP="005D6F97">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C62A4E" w:rsidRDefault="00C62A4E" w:rsidP="005D6F97">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C62A4E" w:rsidRDefault="00C62A4E" w:rsidP="00C62A4E">
            <w:pPr>
              <w:jc w:val="right"/>
              <w:rPr>
                <w:b/>
                <w:bCs/>
                <w:szCs w:val="16"/>
              </w:rPr>
            </w:pPr>
            <w:r>
              <w:rPr>
                <w:b/>
                <w:bCs/>
                <w:szCs w:val="16"/>
              </w:rPr>
              <w:t>959,550</w:t>
            </w:r>
          </w:p>
        </w:tc>
        <w:tc>
          <w:tcPr>
            <w:tcW w:w="630" w:type="pct"/>
            <w:tcBorders>
              <w:top w:val="nil"/>
              <w:left w:val="nil"/>
              <w:bottom w:val="nil"/>
              <w:right w:val="nil"/>
            </w:tcBorders>
            <w:shd w:val="clear" w:color="auto" w:fill="auto"/>
            <w:vAlign w:val="center"/>
            <w:hideMark/>
          </w:tcPr>
          <w:p w:rsidR="00C62A4E" w:rsidRDefault="00C62A4E" w:rsidP="00C62A4E">
            <w:pPr>
              <w:jc w:val="right"/>
              <w:rPr>
                <w:b/>
                <w:bCs/>
                <w:szCs w:val="16"/>
              </w:rPr>
            </w:pPr>
            <w:r>
              <w:rPr>
                <w:b/>
                <w:bCs/>
                <w:szCs w:val="16"/>
              </w:rPr>
              <w:t>930,650</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(1,349,538)</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16,408</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(1,215,877)</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82,858</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C62A4E" w:rsidRDefault="00C62A4E" w:rsidP="005D6F97">
            <w:pPr>
              <w:jc w:val="right"/>
              <w:rPr>
                <w:sz w:val="20"/>
              </w:rPr>
            </w:pPr>
          </w:p>
        </w:tc>
        <w:tc>
          <w:tcPr>
            <w:tcW w:w="569" w:type="pct"/>
            <w:tcBorders>
              <w:top w:val="nil"/>
              <w:left w:val="nil"/>
              <w:bottom w:val="nil"/>
              <w:right w:val="nil"/>
            </w:tcBorders>
            <w:shd w:val="clear" w:color="auto" w:fill="auto"/>
            <w:vAlign w:val="center"/>
            <w:hideMark/>
          </w:tcPr>
          <w:p w:rsidR="00C62A4E" w:rsidRDefault="00C62A4E" w:rsidP="005D6F97">
            <w:pPr>
              <w:jc w:val="right"/>
              <w:rPr>
                <w:sz w:val="20"/>
              </w:rPr>
            </w:pPr>
          </w:p>
        </w:tc>
        <w:tc>
          <w:tcPr>
            <w:tcW w:w="625" w:type="pct"/>
            <w:tcBorders>
              <w:top w:val="nil"/>
              <w:left w:val="nil"/>
              <w:bottom w:val="nil"/>
              <w:right w:val="nil"/>
            </w:tcBorders>
            <w:shd w:val="clear" w:color="auto" w:fill="auto"/>
            <w:vAlign w:val="center"/>
            <w:hideMark/>
          </w:tcPr>
          <w:p w:rsidR="00C62A4E" w:rsidRDefault="00C62A4E" w:rsidP="00C62A4E">
            <w:pPr>
              <w:jc w:val="right"/>
              <w:rPr>
                <w:sz w:val="20"/>
              </w:rPr>
            </w:pPr>
          </w:p>
        </w:tc>
        <w:tc>
          <w:tcPr>
            <w:tcW w:w="630" w:type="pct"/>
            <w:tcBorders>
              <w:top w:val="nil"/>
              <w:left w:val="nil"/>
              <w:bottom w:val="nil"/>
              <w:right w:val="nil"/>
            </w:tcBorders>
            <w:shd w:val="clear" w:color="auto" w:fill="auto"/>
            <w:vAlign w:val="center"/>
            <w:hideMark/>
          </w:tcPr>
          <w:p w:rsidR="00C62A4E" w:rsidRDefault="00C62A4E" w:rsidP="00C62A4E">
            <w:pPr>
              <w:jc w:val="right"/>
              <w:rPr>
                <w:sz w:val="20"/>
              </w:rPr>
            </w:pP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133,662</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66,450</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2,309,088</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914,242</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C62A4E" w:rsidRDefault="00C62A4E" w:rsidP="005D6F97">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C62A4E" w:rsidRDefault="00C62A4E" w:rsidP="005D6F97">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C62A4E" w:rsidRDefault="00C62A4E" w:rsidP="00C62A4E">
            <w:pPr>
              <w:jc w:val="right"/>
              <w:rPr>
                <w:szCs w:val="16"/>
              </w:rPr>
            </w:pPr>
            <w:r>
              <w:rPr>
                <w:szCs w:val="16"/>
              </w:rPr>
              <w:t>2,233,301</w:t>
            </w:r>
          </w:p>
        </w:tc>
        <w:tc>
          <w:tcPr>
            <w:tcW w:w="630" w:type="pct"/>
            <w:tcBorders>
              <w:top w:val="nil"/>
              <w:left w:val="nil"/>
              <w:bottom w:val="nil"/>
              <w:right w:val="nil"/>
            </w:tcBorders>
            <w:shd w:val="clear" w:color="auto" w:fill="auto"/>
            <w:noWrap/>
            <w:vAlign w:val="center"/>
            <w:hideMark/>
          </w:tcPr>
          <w:p w:rsidR="00C62A4E" w:rsidRDefault="00C62A4E" w:rsidP="00C62A4E">
            <w:pPr>
              <w:jc w:val="right"/>
              <w:rPr>
                <w:szCs w:val="16"/>
              </w:rPr>
            </w:pPr>
            <w:r>
              <w:rPr>
                <w:szCs w:val="16"/>
              </w:rPr>
              <w:t>744,036</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C62A4E" w:rsidRDefault="00C62A4E" w:rsidP="005D6F97">
            <w:pPr>
              <w:jc w:val="right"/>
              <w:rPr>
                <w:sz w:val="20"/>
              </w:rPr>
            </w:pPr>
          </w:p>
        </w:tc>
        <w:tc>
          <w:tcPr>
            <w:tcW w:w="569" w:type="pct"/>
            <w:tcBorders>
              <w:top w:val="nil"/>
              <w:left w:val="nil"/>
              <w:bottom w:val="nil"/>
              <w:right w:val="nil"/>
            </w:tcBorders>
            <w:shd w:val="clear" w:color="auto" w:fill="auto"/>
            <w:noWrap/>
            <w:vAlign w:val="center"/>
            <w:hideMark/>
          </w:tcPr>
          <w:p w:rsidR="00C62A4E" w:rsidRDefault="00C62A4E" w:rsidP="005D6F97">
            <w:pPr>
              <w:jc w:val="right"/>
              <w:rPr>
                <w:sz w:val="20"/>
              </w:rPr>
            </w:pPr>
          </w:p>
        </w:tc>
        <w:tc>
          <w:tcPr>
            <w:tcW w:w="625" w:type="pct"/>
            <w:tcBorders>
              <w:top w:val="nil"/>
              <w:left w:val="nil"/>
              <w:bottom w:val="nil"/>
              <w:right w:val="nil"/>
            </w:tcBorders>
            <w:shd w:val="clear" w:color="auto" w:fill="auto"/>
            <w:noWrap/>
            <w:vAlign w:val="center"/>
            <w:hideMark/>
          </w:tcPr>
          <w:p w:rsidR="00C62A4E" w:rsidRDefault="00C62A4E" w:rsidP="00C62A4E">
            <w:pPr>
              <w:jc w:val="right"/>
              <w:rPr>
                <w:sz w:val="20"/>
              </w:rPr>
            </w:pPr>
          </w:p>
        </w:tc>
        <w:tc>
          <w:tcPr>
            <w:tcW w:w="630" w:type="pct"/>
            <w:tcBorders>
              <w:top w:val="nil"/>
              <w:left w:val="nil"/>
              <w:bottom w:val="nil"/>
              <w:right w:val="nil"/>
            </w:tcBorders>
            <w:shd w:val="clear" w:color="auto" w:fill="auto"/>
            <w:noWrap/>
            <w:vAlign w:val="center"/>
            <w:hideMark/>
          </w:tcPr>
          <w:p w:rsidR="00C62A4E" w:rsidRDefault="00C62A4E" w:rsidP="00C62A4E">
            <w:pPr>
              <w:jc w:val="right"/>
              <w:rPr>
                <w:sz w:val="20"/>
              </w:rPr>
            </w:pP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C62A4E" w:rsidRDefault="00C62A4E" w:rsidP="005D6F97">
            <w:pPr>
              <w:jc w:val="right"/>
              <w:rPr>
                <w:sz w:val="20"/>
              </w:rPr>
            </w:pPr>
          </w:p>
        </w:tc>
        <w:tc>
          <w:tcPr>
            <w:tcW w:w="569" w:type="pct"/>
            <w:tcBorders>
              <w:top w:val="nil"/>
              <w:left w:val="nil"/>
              <w:bottom w:val="nil"/>
              <w:right w:val="nil"/>
            </w:tcBorders>
            <w:shd w:val="clear" w:color="auto" w:fill="auto"/>
            <w:vAlign w:val="center"/>
            <w:hideMark/>
          </w:tcPr>
          <w:p w:rsidR="00C62A4E" w:rsidRDefault="00C62A4E" w:rsidP="005D6F97">
            <w:pPr>
              <w:jc w:val="right"/>
              <w:rPr>
                <w:sz w:val="20"/>
              </w:rPr>
            </w:pPr>
          </w:p>
        </w:tc>
        <w:tc>
          <w:tcPr>
            <w:tcW w:w="625" w:type="pct"/>
            <w:tcBorders>
              <w:top w:val="nil"/>
              <w:left w:val="nil"/>
              <w:bottom w:val="nil"/>
              <w:right w:val="nil"/>
            </w:tcBorders>
            <w:shd w:val="clear" w:color="auto" w:fill="auto"/>
            <w:vAlign w:val="center"/>
            <w:hideMark/>
          </w:tcPr>
          <w:p w:rsidR="00C62A4E" w:rsidRDefault="00C62A4E" w:rsidP="00C62A4E">
            <w:pPr>
              <w:jc w:val="right"/>
              <w:rPr>
                <w:sz w:val="20"/>
              </w:rPr>
            </w:pPr>
          </w:p>
        </w:tc>
        <w:tc>
          <w:tcPr>
            <w:tcW w:w="630" w:type="pct"/>
            <w:tcBorders>
              <w:top w:val="nil"/>
              <w:left w:val="nil"/>
              <w:bottom w:val="nil"/>
              <w:right w:val="nil"/>
            </w:tcBorders>
            <w:shd w:val="clear" w:color="auto" w:fill="auto"/>
            <w:vAlign w:val="center"/>
            <w:hideMark/>
          </w:tcPr>
          <w:p w:rsidR="00C62A4E" w:rsidRDefault="00C62A4E" w:rsidP="00C62A4E">
            <w:pPr>
              <w:jc w:val="right"/>
              <w:rPr>
                <w:sz w:val="20"/>
              </w:rPr>
            </w:pP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(75,890)</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(169,752)</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103</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(454)</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C62A4E" w:rsidRDefault="00C62A4E" w:rsidP="005D6F97">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C62A4E" w:rsidRDefault="00C62A4E" w:rsidP="005D6F97">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C62A4E" w:rsidRDefault="00C62A4E" w:rsidP="00C62A4E">
            <w:pPr>
              <w:jc w:val="right"/>
              <w:rPr>
                <w:b/>
                <w:bCs/>
                <w:szCs w:val="16"/>
              </w:rPr>
            </w:pPr>
            <w:r>
              <w:rPr>
                <w:b/>
                <w:bCs/>
                <w:szCs w:val="16"/>
              </w:rPr>
              <w:t>(188,968)</w:t>
            </w:r>
          </w:p>
        </w:tc>
        <w:tc>
          <w:tcPr>
            <w:tcW w:w="630" w:type="pct"/>
            <w:tcBorders>
              <w:top w:val="nil"/>
              <w:left w:val="nil"/>
              <w:bottom w:val="nil"/>
              <w:right w:val="nil"/>
            </w:tcBorders>
            <w:shd w:val="clear" w:color="auto" w:fill="auto"/>
            <w:vAlign w:val="center"/>
            <w:hideMark/>
          </w:tcPr>
          <w:p w:rsidR="00C62A4E" w:rsidRDefault="00C62A4E" w:rsidP="00C62A4E">
            <w:pPr>
              <w:jc w:val="right"/>
              <w:rPr>
                <w:b/>
                <w:bCs/>
                <w:szCs w:val="16"/>
              </w:rPr>
            </w:pPr>
            <w:r>
              <w:rPr>
                <w:b/>
                <w:bCs/>
                <w:szCs w:val="16"/>
              </w:rPr>
              <w:t>(226,607)</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(41,348)</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(113,953)</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C62A4E" w:rsidRDefault="00C62A4E" w:rsidP="005D6F97">
            <w:pPr>
              <w:jc w:val="right"/>
              <w:rPr>
                <w:sz w:val="20"/>
              </w:rPr>
            </w:pPr>
          </w:p>
        </w:tc>
        <w:tc>
          <w:tcPr>
            <w:tcW w:w="569" w:type="pct"/>
            <w:tcBorders>
              <w:top w:val="nil"/>
              <w:left w:val="nil"/>
              <w:bottom w:val="nil"/>
              <w:right w:val="nil"/>
            </w:tcBorders>
            <w:shd w:val="clear" w:color="auto" w:fill="auto"/>
            <w:vAlign w:val="center"/>
            <w:hideMark/>
          </w:tcPr>
          <w:p w:rsidR="00C62A4E" w:rsidRDefault="00C62A4E" w:rsidP="005D6F97">
            <w:pPr>
              <w:jc w:val="right"/>
              <w:rPr>
                <w:sz w:val="20"/>
              </w:rPr>
            </w:pPr>
          </w:p>
        </w:tc>
        <w:tc>
          <w:tcPr>
            <w:tcW w:w="625" w:type="pct"/>
            <w:tcBorders>
              <w:top w:val="nil"/>
              <w:left w:val="nil"/>
              <w:bottom w:val="nil"/>
              <w:right w:val="nil"/>
            </w:tcBorders>
            <w:shd w:val="clear" w:color="auto" w:fill="auto"/>
            <w:vAlign w:val="center"/>
            <w:hideMark/>
          </w:tcPr>
          <w:p w:rsidR="00C62A4E" w:rsidRDefault="00C62A4E" w:rsidP="00C62A4E">
            <w:pPr>
              <w:jc w:val="right"/>
              <w:rPr>
                <w:sz w:val="20"/>
              </w:rPr>
            </w:pPr>
          </w:p>
        </w:tc>
        <w:tc>
          <w:tcPr>
            <w:tcW w:w="630" w:type="pct"/>
            <w:tcBorders>
              <w:top w:val="nil"/>
              <w:left w:val="nil"/>
              <w:bottom w:val="nil"/>
              <w:right w:val="nil"/>
            </w:tcBorders>
            <w:shd w:val="clear" w:color="auto" w:fill="auto"/>
            <w:vAlign w:val="center"/>
            <w:hideMark/>
          </w:tcPr>
          <w:p w:rsidR="00C62A4E" w:rsidRDefault="00C62A4E" w:rsidP="00C62A4E">
            <w:pPr>
              <w:jc w:val="right"/>
              <w:rPr>
                <w:sz w:val="20"/>
              </w:rPr>
            </w:pP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41,348</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113,953</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(147,619)</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(112,653)</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C62A4E" w:rsidRDefault="00C62A4E" w:rsidP="005D6F97">
            <w:pPr>
              <w:jc w:val="right"/>
              <w:rPr>
                <w:szCs w:val="16"/>
              </w:rPr>
            </w:pPr>
          </w:p>
        </w:tc>
        <w:tc>
          <w:tcPr>
            <w:tcW w:w="569" w:type="pct"/>
            <w:tcBorders>
              <w:top w:val="nil"/>
              <w:left w:val="nil"/>
              <w:bottom w:val="nil"/>
              <w:right w:val="nil"/>
            </w:tcBorders>
            <w:shd w:val="clear" w:color="auto" w:fill="auto"/>
            <w:noWrap/>
            <w:vAlign w:val="center"/>
            <w:hideMark/>
          </w:tcPr>
          <w:p w:rsidR="00C62A4E" w:rsidRDefault="00C62A4E" w:rsidP="005D6F97">
            <w:pPr>
              <w:jc w:val="right"/>
              <w:rPr>
                <w:szCs w:val="16"/>
              </w:rPr>
            </w:pPr>
          </w:p>
        </w:tc>
        <w:tc>
          <w:tcPr>
            <w:tcW w:w="625" w:type="pct"/>
            <w:tcBorders>
              <w:top w:val="nil"/>
              <w:left w:val="nil"/>
              <w:bottom w:val="nil"/>
              <w:right w:val="nil"/>
            </w:tcBorders>
            <w:shd w:val="clear" w:color="auto" w:fill="auto"/>
            <w:noWrap/>
            <w:vAlign w:val="center"/>
            <w:hideMark/>
          </w:tcPr>
          <w:p w:rsidR="00C62A4E" w:rsidRDefault="00C62A4E" w:rsidP="00C62A4E">
            <w:pPr>
              <w:jc w:val="right"/>
              <w:rPr>
                <w:sz w:val="20"/>
              </w:rPr>
            </w:pPr>
          </w:p>
        </w:tc>
        <w:tc>
          <w:tcPr>
            <w:tcW w:w="630" w:type="pct"/>
            <w:tcBorders>
              <w:top w:val="nil"/>
              <w:left w:val="nil"/>
              <w:bottom w:val="nil"/>
              <w:right w:val="nil"/>
            </w:tcBorders>
            <w:shd w:val="clear" w:color="auto" w:fill="auto"/>
            <w:noWrap/>
            <w:vAlign w:val="center"/>
            <w:hideMark/>
          </w:tcPr>
          <w:p w:rsidR="00C62A4E" w:rsidRDefault="00C62A4E" w:rsidP="00C62A4E">
            <w:pPr>
              <w:jc w:val="right"/>
              <w:rPr>
                <w:sz w:val="20"/>
              </w:rPr>
            </w:pP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C62A4E" w:rsidRDefault="00C62A4E" w:rsidP="005D6F97">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(3,380)</w:t>
            </w:r>
          </w:p>
        </w:tc>
        <w:tc>
          <w:tcPr>
            <w:tcW w:w="630" w:type="pct"/>
            <w:tcBorders>
              <w:top w:val="nil"/>
              <w:left w:val="nil"/>
              <w:bottom w:val="nil"/>
              <w:right w:val="nil"/>
            </w:tcBorders>
            <w:shd w:val="clear" w:color="auto" w:fill="auto"/>
            <w:vAlign w:val="center"/>
            <w:hideMark/>
          </w:tcPr>
          <w:p w:rsidR="00C62A4E" w:rsidRDefault="00C62A4E" w:rsidP="00C62A4E">
            <w:pPr>
              <w:jc w:val="right"/>
              <w:rPr>
                <w:szCs w:val="16"/>
              </w:rPr>
            </w:pPr>
            <w:r>
              <w:rPr>
                <w:szCs w:val="16"/>
              </w:rPr>
              <w:t>3,123</w:t>
            </w:r>
          </w:p>
        </w:tc>
      </w:tr>
      <w:tr w:rsidR="00C62A4E" w:rsidRPr="00D5469A" w:rsidTr="00C62A4E">
        <w:trPr>
          <w:trHeight w:val="288"/>
          <w:jc w:val="center"/>
        </w:trPr>
        <w:tc>
          <w:tcPr>
            <w:tcW w:w="2608" w:type="pct"/>
            <w:tcBorders>
              <w:top w:val="nil"/>
              <w:left w:val="nil"/>
              <w:bottom w:val="nil"/>
              <w:right w:val="nil"/>
            </w:tcBorders>
            <w:shd w:val="clear" w:color="auto" w:fill="auto"/>
            <w:vAlign w:val="center"/>
            <w:hideMark/>
          </w:tcPr>
          <w:p w:rsidR="00C62A4E" w:rsidRPr="00D5469A" w:rsidRDefault="00C62A4E"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C62A4E" w:rsidRDefault="00C62A4E" w:rsidP="005D6F97">
            <w:pPr>
              <w:jc w:val="right"/>
              <w:rPr>
                <w:sz w:val="20"/>
              </w:rPr>
            </w:pPr>
          </w:p>
        </w:tc>
        <w:tc>
          <w:tcPr>
            <w:tcW w:w="569" w:type="pct"/>
            <w:tcBorders>
              <w:top w:val="nil"/>
              <w:left w:val="nil"/>
              <w:bottom w:val="nil"/>
              <w:right w:val="nil"/>
            </w:tcBorders>
            <w:shd w:val="clear" w:color="auto" w:fill="auto"/>
            <w:noWrap/>
            <w:vAlign w:val="center"/>
            <w:hideMark/>
          </w:tcPr>
          <w:p w:rsidR="00C62A4E" w:rsidRDefault="00C62A4E" w:rsidP="005D6F97">
            <w:pPr>
              <w:jc w:val="right"/>
              <w:rPr>
                <w:sz w:val="20"/>
              </w:rPr>
            </w:pPr>
          </w:p>
        </w:tc>
        <w:tc>
          <w:tcPr>
            <w:tcW w:w="625" w:type="pct"/>
            <w:tcBorders>
              <w:top w:val="nil"/>
              <w:left w:val="nil"/>
              <w:bottom w:val="nil"/>
              <w:right w:val="nil"/>
            </w:tcBorders>
            <w:shd w:val="clear" w:color="auto" w:fill="auto"/>
            <w:noWrap/>
            <w:vAlign w:val="center"/>
            <w:hideMark/>
          </w:tcPr>
          <w:p w:rsidR="00C62A4E" w:rsidRDefault="00C62A4E" w:rsidP="00C62A4E">
            <w:pPr>
              <w:jc w:val="right"/>
              <w:rPr>
                <w:sz w:val="20"/>
              </w:rPr>
            </w:pPr>
          </w:p>
        </w:tc>
        <w:tc>
          <w:tcPr>
            <w:tcW w:w="630" w:type="pct"/>
            <w:tcBorders>
              <w:top w:val="nil"/>
              <w:left w:val="nil"/>
              <w:bottom w:val="nil"/>
              <w:right w:val="nil"/>
            </w:tcBorders>
            <w:shd w:val="clear" w:color="auto" w:fill="auto"/>
            <w:noWrap/>
            <w:vAlign w:val="center"/>
            <w:hideMark/>
          </w:tcPr>
          <w:p w:rsidR="00C62A4E" w:rsidRDefault="00C62A4E" w:rsidP="00C62A4E">
            <w:pPr>
              <w:jc w:val="right"/>
              <w:rPr>
                <w:sz w:val="20"/>
              </w:rPr>
            </w:pPr>
          </w:p>
        </w:tc>
      </w:tr>
      <w:tr w:rsidR="00C62A4E" w:rsidRPr="00D5469A" w:rsidTr="00C62A4E">
        <w:trPr>
          <w:trHeight w:val="288"/>
          <w:jc w:val="center"/>
        </w:trPr>
        <w:tc>
          <w:tcPr>
            <w:tcW w:w="2608" w:type="pct"/>
            <w:tcBorders>
              <w:top w:val="nil"/>
              <w:left w:val="nil"/>
              <w:bottom w:val="single" w:sz="12" w:space="0" w:color="auto"/>
              <w:right w:val="nil"/>
            </w:tcBorders>
            <w:shd w:val="clear" w:color="auto" w:fill="auto"/>
            <w:vAlign w:val="center"/>
            <w:hideMark/>
          </w:tcPr>
          <w:p w:rsidR="00C62A4E" w:rsidRPr="00D5469A" w:rsidRDefault="00C62A4E"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C62A4E" w:rsidRDefault="00C62A4E" w:rsidP="005D6F97">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C62A4E" w:rsidRDefault="00C62A4E" w:rsidP="005D6F97">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C62A4E" w:rsidRDefault="00C62A4E" w:rsidP="00C62A4E">
            <w:pPr>
              <w:jc w:val="right"/>
              <w:rPr>
                <w:szCs w:val="16"/>
              </w:rPr>
            </w:pPr>
            <w:r>
              <w:rPr>
                <w:szCs w:val="16"/>
              </w:rPr>
              <w:t>144,240</w:t>
            </w:r>
          </w:p>
        </w:tc>
        <w:tc>
          <w:tcPr>
            <w:tcW w:w="630" w:type="pct"/>
            <w:tcBorders>
              <w:top w:val="nil"/>
              <w:left w:val="nil"/>
              <w:bottom w:val="single" w:sz="12" w:space="0" w:color="auto"/>
              <w:right w:val="nil"/>
            </w:tcBorders>
            <w:shd w:val="clear" w:color="auto" w:fill="auto"/>
            <w:vAlign w:val="center"/>
            <w:hideMark/>
          </w:tcPr>
          <w:p w:rsidR="00C62A4E" w:rsidRDefault="00C62A4E" w:rsidP="00C62A4E">
            <w:pPr>
              <w:jc w:val="right"/>
              <w:rPr>
                <w:szCs w:val="16"/>
              </w:rPr>
            </w:pPr>
            <w:r>
              <w:rPr>
                <w:szCs w:val="16"/>
              </w:rPr>
              <w:t>115,776</w:t>
            </w:r>
          </w:p>
        </w:tc>
      </w:tr>
      <w:tr w:rsidR="00C62A4E" w:rsidRPr="00D5469A" w:rsidTr="00C62A4E">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C62A4E" w:rsidRPr="00D5469A" w:rsidRDefault="00C62A4E"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C62A4E" w:rsidRDefault="00C62A4E" w:rsidP="005D6F97">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C62A4E" w:rsidRDefault="00C62A4E" w:rsidP="005D6F97">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C62A4E" w:rsidRDefault="00C62A4E" w:rsidP="00C62A4E">
            <w:pPr>
              <w:jc w:val="right"/>
              <w:rPr>
                <w:b/>
                <w:bCs/>
                <w:szCs w:val="16"/>
              </w:rPr>
            </w:pPr>
            <w:r>
              <w:rPr>
                <w:b/>
                <w:bCs/>
                <w:szCs w:val="16"/>
              </w:rPr>
              <w:t>770,583</w:t>
            </w:r>
          </w:p>
        </w:tc>
        <w:tc>
          <w:tcPr>
            <w:tcW w:w="630" w:type="pct"/>
            <w:tcBorders>
              <w:top w:val="single" w:sz="12" w:space="0" w:color="auto"/>
              <w:left w:val="nil"/>
              <w:bottom w:val="single" w:sz="12" w:space="0" w:color="auto"/>
              <w:right w:val="nil"/>
            </w:tcBorders>
            <w:shd w:val="clear" w:color="auto" w:fill="auto"/>
            <w:vAlign w:val="center"/>
            <w:hideMark/>
          </w:tcPr>
          <w:p w:rsidR="00C62A4E" w:rsidRDefault="00C62A4E" w:rsidP="00C62A4E">
            <w:pPr>
              <w:jc w:val="right"/>
              <w:rPr>
                <w:b/>
                <w:bCs/>
                <w:szCs w:val="16"/>
              </w:rPr>
            </w:pPr>
            <w:r>
              <w:rPr>
                <w:b/>
                <w:bCs/>
                <w:szCs w:val="16"/>
              </w:rPr>
              <w:t>704,044</w:t>
            </w:r>
          </w:p>
        </w:tc>
      </w:tr>
      <w:tr w:rsidR="00BF3CA4"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BF3CA4" w:rsidRDefault="00BF3CA4" w:rsidP="00601FB0">
            <w:pPr>
              <w:jc w:val="right"/>
              <w:rPr>
                <w:b/>
                <w:bCs/>
                <w:szCs w:val="16"/>
              </w:rPr>
            </w:pPr>
          </w:p>
        </w:tc>
      </w:tr>
      <w:tr w:rsidR="00BF3CA4"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F3CA4" w:rsidRDefault="00BF3CA4"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637E34" w:rsidRPr="00D5469A" w:rsidTr="00637E34">
        <w:trPr>
          <w:trHeight w:val="288"/>
          <w:jc w:val="center"/>
        </w:trPr>
        <w:tc>
          <w:tcPr>
            <w:tcW w:w="2608" w:type="pct"/>
            <w:tcBorders>
              <w:top w:val="single" w:sz="12" w:space="0" w:color="auto"/>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637E34" w:rsidRDefault="00637E34" w:rsidP="00F46A76">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637E34" w:rsidRDefault="00637E34" w:rsidP="00F46A76">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637E34" w:rsidRDefault="00637E34" w:rsidP="00637E34">
            <w:pPr>
              <w:jc w:val="right"/>
              <w:rPr>
                <w:szCs w:val="16"/>
              </w:rPr>
            </w:pPr>
            <w:r>
              <w:rPr>
                <w:szCs w:val="16"/>
              </w:rPr>
              <w:t>151</w:t>
            </w:r>
          </w:p>
        </w:tc>
        <w:tc>
          <w:tcPr>
            <w:tcW w:w="630" w:type="pct"/>
            <w:tcBorders>
              <w:top w:val="single" w:sz="12" w:space="0" w:color="auto"/>
              <w:left w:val="nil"/>
              <w:bottom w:val="nil"/>
              <w:right w:val="nil"/>
            </w:tcBorders>
            <w:shd w:val="clear" w:color="auto" w:fill="auto"/>
            <w:vAlign w:val="center"/>
            <w:hideMark/>
          </w:tcPr>
          <w:p w:rsidR="00637E34" w:rsidRDefault="00637E34" w:rsidP="00637E34">
            <w:pPr>
              <w:jc w:val="right"/>
              <w:rPr>
                <w:szCs w:val="16"/>
              </w:rPr>
            </w:pPr>
            <w:r>
              <w:rPr>
                <w:szCs w:val="16"/>
              </w:rPr>
              <w:t>56</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540,260</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(55,429)</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(134,326)</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(1,821)</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4,249</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43,938</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(1,405)</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(5,994)</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bottom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top w:val="nil"/>
              <w:left w:val="nil"/>
              <w:right w:val="nil"/>
            </w:tcBorders>
            <w:shd w:val="clear" w:color="auto" w:fill="auto"/>
            <w:vAlign w:val="center"/>
            <w:hideMark/>
          </w:tcPr>
          <w:p w:rsidR="00637E34" w:rsidRPr="00D5469A" w:rsidRDefault="00637E34"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637E34" w:rsidRDefault="00637E34" w:rsidP="00F46A76">
            <w:pPr>
              <w:jc w:val="right"/>
              <w:rPr>
                <w:szCs w:val="16"/>
              </w:rPr>
            </w:pPr>
            <w:r>
              <w:rPr>
                <w:szCs w:val="16"/>
              </w:rPr>
              <w:t>-</w:t>
            </w:r>
          </w:p>
        </w:tc>
        <w:tc>
          <w:tcPr>
            <w:tcW w:w="569" w:type="pct"/>
            <w:tcBorders>
              <w:top w:val="nil"/>
              <w:left w:val="nil"/>
              <w:right w:val="nil"/>
            </w:tcBorders>
            <w:shd w:val="clear" w:color="auto" w:fill="auto"/>
            <w:vAlign w:val="center"/>
            <w:hideMark/>
          </w:tcPr>
          <w:p w:rsidR="00637E34" w:rsidRDefault="00637E34" w:rsidP="00F46A76">
            <w:pPr>
              <w:jc w:val="right"/>
              <w:rPr>
                <w:szCs w:val="16"/>
              </w:rPr>
            </w:pPr>
            <w:r>
              <w:rPr>
                <w:szCs w:val="16"/>
              </w:rPr>
              <w:t>-</w:t>
            </w:r>
          </w:p>
        </w:tc>
        <w:tc>
          <w:tcPr>
            <w:tcW w:w="625" w:type="pct"/>
            <w:tcBorders>
              <w:top w:val="nil"/>
              <w:left w:val="nil"/>
              <w:right w:val="nil"/>
            </w:tcBorders>
            <w:shd w:val="clear" w:color="auto" w:fill="auto"/>
            <w:vAlign w:val="center"/>
            <w:hideMark/>
          </w:tcPr>
          <w:p w:rsidR="00637E34" w:rsidRDefault="00637E34" w:rsidP="00637E34">
            <w:pPr>
              <w:jc w:val="right"/>
              <w:rPr>
                <w:szCs w:val="16"/>
              </w:rPr>
            </w:pPr>
            <w:r>
              <w:rPr>
                <w:szCs w:val="16"/>
              </w:rPr>
              <w:t>-</w:t>
            </w:r>
          </w:p>
        </w:tc>
        <w:tc>
          <w:tcPr>
            <w:tcW w:w="630" w:type="pct"/>
            <w:tcBorders>
              <w:top w:val="nil"/>
              <w:left w:val="nil"/>
              <w:right w:val="nil"/>
            </w:tcBorders>
            <w:shd w:val="clear" w:color="auto" w:fill="auto"/>
            <w:vAlign w:val="center"/>
            <w:hideMark/>
          </w:tcPr>
          <w:p w:rsidR="00637E34" w:rsidRDefault="00637E34" w:rsidP="00637E34">
            <w:pPr>
              <w:jc w:val="right"/>
              <w:rPr>
                <w:szCs w:val="16"/>
              </w:rPr>
            </w:pPr>
            <w:r>
              <w:rPr>
                <w:szCs w:val="16"/>
              </w:rPr>
              <w:t>-</w:t>
            </w:r>
          </w:p>
        </w:tc>
      </w:tr>
      <w:tr w:rsidR="00637E34" w:rsidRPr="00D5469A" w:rsidTr="00637E34">
        <w:trPr>
          <w:trHeight w:val="288"/>
          <w:jc w:val="center"/>
        </w:trPr>
        <w:tc>
          <w:tcPr>
            <w:tcW w:w="2608" w:type="pct"/>
            <w:tcBorders>
              <w:left w:val="nil"/>
              <w:bottom w:val="single" w:sz="12" w:space="0" w:color="auto"/>
              <w:right w:val="nil"/>
            </w:tcBorders>
            <w:shd w:val="clear" w:color="auto" w:fill="auto"/>
            <w:vAlign w:val="center"/>
          </w:tcPr>
          <w:p w:rsidR="00637E34" w:rsidRPr="00D5469A" w:rsidRDefault="00637E34"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637E34" w:rsidRDefault="00637E34" w:rsidP="00F46A76">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637E34" w:rsidRDefault="00637E34" w:rsidP="00F46A76">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637E34" w:rsidRDefault="00637E34" w:rsidP="00637E34">
            <w:pPr>
              <w:jc w:val="right"/>
              <w:rPr>
                <w:szCs w:val="16"/>
              </w:rPr>
            </w:pPr>
            <w:r>
              <w:rPr>
                <w:szCs w:val="16"/>
              </w:rPr>
              <w:t>61</w:t>
            </w:r>
          </w:p>
        </w:tc>
        <w:tc>
          <w:tcPr>
            <w:tcW w:w="630" w:type="pct"/>
            <w:tcBorders>
              <w:left w:val="nil"/>
              <w:bottom w:val="single" w:sz="12" w:space="0" w:color="auto"/>
              <w:right w:val="nil"/>
            </w:tcBorders>
            <w:shd w:val="clear" w:color="auto" w:fill="auto"/>
            <w:vAlign w:val="center"/>
          </w:tcPr>
          <w:p w:rsidR="00637E34" w:rsidRDefault="00637E34" w:rsidP="00637E34">
            <w:pPr>
              <w:jc w:val="right"/>
              <w:rPr>
                <w:szCs w:val="16"/>
              </w:rPr>
            </w:pPr>
            <w:r>
              <w:rPr>
                <w:szCs w:val="16"/>
              </w:rPr>
              <w:t>(1,885)</w:t>
            </w:r>
          </w:p>
        </w:tc>
      </w:tr>
      <w:tr w:rsidR="00637E34" w:rsidRPr="00D5469A" w:rsidTr="00637E34">
        <w:trPr>
          <w:trHeight w:val="288"/>
          <w:jc w:val="center"/>
        </w:trPr>
        <w:tc>
          <w:tcPr>
            <w:tcW w:w="2608" w:type="pct"/>
            <w:tcBorders>
              <w:top w:val="nil"/>
              <w:left w:val="nil"/>
              <w:bottom w:val="single" w:sz="12" w:space="0" w:color="auto"/>
              <w:right w:val="nil"/>
            </w:tcBorders>
            <w:shd w:val="clear" w:color="auto" w:fill="auto"/>
            <w:vAlign w:val="center"/>
          </w:tcPr>
          <w:p w:rsidR="00637E34" w:rsidRPr="00D5469A" w:rsidRDefault="00637E34"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637E34" w:rsidRDefault="00637E34" w:rsidP="00F46A76">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637E34" w:rsidRDefault="00637E34" w:rsidP="00F46A76">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637E34" w:rsidRDefault="00637E34" w:rsidP="00637E34">
            <w:pPr>
              <w:jc w:val="right"/>
              <w:rPr>
                <w:b/>
                <w:bCs/>
                <w:szCs w:val="16"/>
              </w:rPr>
            </w:pPr>
            <w:r>
              <w:rPr>
                <w:b/>
                <w:bCs/>
                <w:szCs w:val="16"/>
              </w:rPr>
              <w:t>(58,442)</w:t>
            </w:r>
          </w:p>
        </w:tc>
        <w:tc>
          <w:tcPr>
            <w:tcW w:w="630" w:type="pct"/>
            <w:tcBorders>
              <w:top w:val="nil"/>
              <w:left w:val="nil"/>
              <w:bottom w:val="single" w:sz="12" w:space="0" w:color="auto"/>
              <w:right w:val="nil"/>
            </w:tcBorders>
            <w:shd w:val="clear" w:color="auto" w:fill="auto"/>
            <w:vAlign w:val="center"/>
          </w:tcPr>
          <w:p w:rsidR="00637E34" w:rsidRDefault="00637E34" w:rsidP="00637E34">
            <w:pPr>
              <w:jc w:val="right"/>
              <w:rPr>
                <w:b/>
                <w:bCs/>
                <w:szCs w:val="16"/>
              </w:rPr>
            </w:pPr>
            <w:r>
              <w:rPr>
                <w:b/>
                <w:bCs/>
                <w:szCs w:val="16"/>
              </w:rPr>
              <w:t>(137,900)</w:t>
            </w:r>
          </w:p>
        </w:tc>
      </w:tr>
      <w:tr w:rsidR="00691090" w:rsidRPr="00D5469A" w:rsidTr="00691090">
        <w:trPr>
          <w:trHeight w:val="288"/>
          <w:jc w:val="center"/>
        </w:trPr>
        <w:tc>
          <w:tcPr>
            <w:tcW w:w="5000" w:type="pct"/>
            <w:gridSpan w:val="5"/>
            <w:tcBorders>
              <w:top w:val="single" w:sz="12" w:space="0" w:color="auto"/>
              <w:left w:val="nil"/>
              <w:right w:val="nil"/>
            </w:tcBorders>
            <w:shd w:val="clear" w:color="auto" w:fill="auto"/>
            <w:vAlign w:val="center"/>
          </w:tcPr>
          <w:p w:rsidR="00691090" w:rsidRDefault="00691090"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3370AC">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2700" w:type="dxa"/>
            <w:gridSpan w:val="3"/>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2700" w:type="dxa"/>
            <w:gridSpan w:val="3"/>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3370AC" w:rsidRPr="000C3431" w:rsidTr="003370AC">
        <w:trPr>
          <w:trHeight w:val="360"/>
          <w:jc w:val="center"/>
        </w:trPr>
        <w:tc>
          <w:tcPr>
            <w:tcW w:w="2430" w:type="dxa"/>
            <w:vMerge/>
            <w:tcBorders>
              <w:top w:val="nil"/>
              <w:left w:val="nil"/>
              <w:bottom w:val="single" w:sz="12" w:space="0" w:color="000000"/>
              <w:right w:val="single" w:sz="4" w:space="0" w:color="auto"/>
            </w:tcBorders>
            <w:vAlign w:val="center"/>
            <w:hideMark/>
          </w:tcPr>
          <w:p w:rsidR="003370AC" w:rsidRPr="000C3431" w:rsidRDefault="003370AC"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Mar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Jan</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Feb</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3370AC" w:rsidRPr="006619BF" w:rsidRDefault="003370AC" w:rsidP="003370AC">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3370AC" w:rsidRPr="000C3431" w:rsidTr="00347075">
        <w:trPr>
          <w:trHeight w:val="360"/>
          <w:jc w:val="center"/>
        </w:trPr>
        <w:tc>
          <w:tcPr>
            <w:tcW w:w="2430" w:type="dxa"/>
            <w:tcBorders>
              <w:top w:val="nil"/>
              <w:left w:val="nil"/>
              <w:bottom w:val="nil"/>
              <w:right w:val="nil"/>
            </w:tcBorders>
            <w:shd w:val="clear" w:color="auto" w:fill="auto"/>
            <w:vAlign w:val="center"/>
            <w:hideMark/>
          </w:tcPr>
          <w:p w:rsidR="003370AC" w:rsidRPr="000C3431" w:rsidRDefault="003370AC"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370AC" w:rsidRPr="000C3431" w:rsidRDefault="003370AC"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370AC" w:rsidRPr="000C3431" w:rsidRDefault="003370AC" w:rsidP="003370AC">
            <w:pPr>
              <w:jc w:val="right"/>
              <w:rPr>
                <w:color w:val="auto"/>
                <w:sz w:val="14"/>
                <w:szCs w:val="14"/>
              </w:rPr>
            </w:pP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182.2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100.9</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185.4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143.8</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3370AC">
            <w:pPr>
              <w:jc w:val="right"/>
              <w:rPr>
                <w:sz w:val="14"/>
                <w:szCs w:val="14"/>
              </w:rPr>
            </w:pPr>
            <w:r>
              <w:rPr>
                <w:sz w:val="14"/>
                <w:szCs w:val="14"/>
              </w:rPr>
              <w:t>119.8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144.5</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3,669,682.6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3,672,538.2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4,160,069.8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4,189,513.2</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3370AC">
            <w:pPr>
              <w:jc w:val="right"/>
              <w:rPr>
                <w:sz w:val="14"/>
                <w:szCs w:val="14"/>
              </w:rPr>
            </w:pPr>
            <w:r>
              <w:rPr>
                <w:sz w:val="14"/>
                <w:szCs w:val="14"/>
              </w:rPr>
              <w:t>4,246,545.5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4,284,737.9</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3,669,864.8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3,672,639.1</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4,160,255.2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4,189,657.1</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4,246,665.3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4,284,882.4</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rFonts w:ascii="Calibri" w:hAnsi="Calibri"/>
                <w:sz w:val="22"/>
                <w:szCs w:val="22"/>
              </w:rPr>
            </w:pP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1,313,810.2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1,189,460.6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1,422,439.7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916,882.6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827,345.3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720,526.1</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263,785.6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270,759.7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297,139.0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297,208.9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3370AC">
            <w:pPr>
              <w:jc w:val="right"/>
              <w:rPr>
                <w:sz w:val="14"/>
                <w:szCs w:val="14"/>
              </w:rPr>
            </w:pPr>
            <w:r>
              <w:rPr>
                <w:sz w:val="14"/>
                <w:szCs w:val="14"/>
              </w:rPr>
              <w:t>308,709.6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317,447.1</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1,049,356.5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918,032.9</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1,124,603.2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618,976.2</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3370AC">
            <w:pPr>
              <w:jc w:val="right"/>
              <w:rPr>
                <w:sz w:val="14"/>
                <w:szCs w:val="14"/>
              </w:rPr>
            </w:pPr>
            <w:r>
              <w:rPr>
                <w:sz w:val="14"/>
                <w:szCs w:val="14"/>
              </w:rPr>
              <w:t>517,938.1</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402,381.4</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697.6</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rFonts w:ascii="Calibri" w:hAnsi="Calibri"/>
                <w:sz w:val="22"/>
                <w:szCs w:val="22"/>
              </w:rPr>
            </w:pP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2,351,090.2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2,478,101.2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2,732,320.8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3,267,279.8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3,413,639.3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3,558,534.3</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125.4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499.7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869.8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801.8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710.0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627.1</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2,350,964.7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2,477,601.4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2,731,451.0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3,266,478.0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3,412,929.3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3,557,907.2</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rFonts w:ascii="Calibri" w:hAnsi="Calibri"/>
                <w:sz w:val="22"/>
                <w:szCs w:val="22"/>
              </w:rPr>
            </w:pP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4,964.4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5,077.3</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b/>
                <w:bCs/>
                <w:sz w:val="14"/>
                <w:szCs w:val="14"/>
              </w:rPr>
            </w:pPr>
            <w:r>
              <w:rPr>
                <w:b/>
                <w:bCs/>
                <w:sz w:val="14"/>
                <w:szCs w:val="14"/>
              </w:rPr>
              <w:t>5,680.7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5,822.0</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4,270.4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4,383.4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4,993.9</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5,135.2</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450.2</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231.8</w:t>
            </w:r>
          </w:p>
        </w:tc>
      </w:tr>
      <w:tr w:rsidR="00423286" w:rsidRPr="000C3431" w:rsidTr="00423286">
        <w:trPr>
          <w:trHeight w:val="360"/>
          <w:jc w:val="center"/>
        </w:trPr>
        <w:tc>
          <w:tcPr>
            <w:tcW w:w="2430" w:type="dxa"/>
            <w:tcBorders>
              <w:top w:val="nil"/>
              <w:left w:val="nil"/>
              <w:bottom w:val="nil"/>
              <w:right w:val="nil"/>
            </w:tcBorders>
            <w:shd w:val="clear" w:color="auto" w:fill="auto"/>
            <w:vAlign w:val="center"/>
            <w:hideMark/>
          </w:tcPr>
          <w:p w:rsidR="00423286" w:rsidRPr="000C3431" w:rsidRDefault="00423286"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sz w:val="14"/>
                <w:szCs w:val="14"/>
              </w:rPr>
            </w:pPr>
            <w:r>
              <w:rPr>
                <w:sz w:val="14"/>
                <w:szCs w:val="14"/>
              </w:rPr>
              <w:t>4.8</w:t>
            </w:r>
          </w:p>
        </w:tc>
      </w:tr>
      <w:tr w:rsidR="003370AC"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3370AC" w:rsidRPr="000C3431" w:rsidRDefault="003370AC"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370AC" w:rsidRDefault="003370AC" w:rsidP="003370AC">
            <w:pPr>
              <w:jc w:val="right"/>
              <w:rPr>
                <w:b/>
                <w:bCs/>
                <w:sz w:val="14"/>
                <w:szCs w:val="14"/>
              </w:rPr>
            </w:pPr>
          </w:p>
        </w:tc>
      </w:tr>
      <w:tr w:rsidR="003370AC"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3370AC" w:rsidRPr="000C3431" w:rsidRDefault="003370AC" w:rsidP="003370AC">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3370AC" w:rsidRPr="000C3431" w:rsidRDefault="003370AC" w:rsidP="003370AC">
            <w:pPr>
              <w:jc w:val="right"/>
              <w:rPr>
                <w:color w:val="auto"/>
                <w:sz w:val="14"/>
                <w:szCs w:val="14"/>
              </w:rPr>
            </w:pPr>
            <w:r w:rsidRPr="000C3431">
              <w:rPr>
                <w:color w:val="auto"/>
                <w:sz w:val="14"/>
                <w:szCs w:val="14"/>
              </w:rPr>
              <w:t>Source: Finance Department SBP</w:t>
            </w:r>
          </w:p>
        </w:tc>
      </w:tr>
      <w:tr w:rsidR="003370AC"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370AC" w:rsidRPr="000C3431" w:rsidRDefault="003370AC"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3370AC"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370AC" w:rsidRPr="000C3431" w:rsidRDefault="003370AC"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810"/>
        <w:gridCol w:w="90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447293">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261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2684" w:type="dxa"/>
            <w:gridSpan w:val="3"/>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447293" w:rsidRPr="0000246F" w:rsidTr="00447293">
        <w:trPr>
          <w:trHeight w:val="240"/>
          <w:jc w:val="center"/>
        </w:trPr>
        <w:tc>
          <w:tcPr>
            <w:tcW w:w="3224" w:type="dxa"/>
            <w:vMerge/>
            <w:tcBorders>
              <w:top w:val="nil"/>
              <w:left w:val="nil"/>
              <w:bottom w:val="single" w:sz="12" w:space="0" w:color="000000"/>
              <w:right w:val="single" w:sz="4" w:space="0" w:color="auto"/>
            </w:tcBorders>
            <w:vAlign w:val="center"/>
            <w:hideMark/>
          </w:tcPr>
          <w:p w:rsidR="00447293" w:rsidRPr="0000246F" w:rsidRDefault="00447293"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Feb</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Mar</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Dec</w:t>
            </w:r>
          </w:p>
        </w:tc>
        <w:tc>
          <w:tcPr>
            <w:tcW w:w="89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Jan</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Feb</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447293" w:rsidRPr="0000246F" w:rsidTr="00AA2E5E">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47293" w:rsidRPr="0000246F" w:rsidRDefault="00447293"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447293" w:rsidRPr="0000246F" w:rsidRDefault="00447293" w:rsidP="00447293">
            <w:pPr>
              <w:jc w:val="right"/>
              <w:rPr>
                <w:rFonts w:ascii="Calibri" w:hAnsi="Calibri"/>
                <w:sz w:val="22"/>
                <w:szCs w:val="22"/>
              </w:rPr>
            </w:pP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100.0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103,135.7</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2,600.0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1,600.0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1,500.0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900.0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4,700.0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2,214,968.3</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2,193,945.6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2,268,751.2</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2,179,969.7</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2,767,465.0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2,337,665.1</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274,629.4</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139,944.4</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12,947.6</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21,713.3</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613,179.7</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22,171.0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324,642.1</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410,142.6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317,460.4</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282,804.0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295,389.0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264,864.0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558,440.3</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587,977.1</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778,451.7</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714,907.0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674,214.0</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823,292.0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1,057,256.5</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1,055,881.6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1,159,891.4</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1,160,545.5</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1,184,682.3</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1,227,338.1</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140,071.6</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140,968.3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155,193.7</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158,984.9</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158,314.6</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165,991.8</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519.2</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641.9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603.0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1,037.8</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715.8</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608.0</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381,529.7</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388,182.1</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368,814.6</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368,814.6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380,315.4</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391,452.7</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569,420.6</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602,271.7</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557,446.7</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563,346.6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574,809.6</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678,354.6</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3,484,645.2</w:t>
            </w:r>
          </w:p>
        </w:tc>
        <w:tc>
          <w:tcPr>
            <w:tcW w:w="810"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3,504,145.2</w:t>
            </w:r>
          </w:p>
        </w:tc>
        <w:tc>
          <w:tcPr>
            <w:tcW w:w="900"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3,465,345.0</w:t>
            </w:r>
          </w:p>
        </w:tc>
        <w:tc>
          <w:tcPr>
            <w:tcW w:w="899"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3,386,689.3</w:t>
            </w:r>
          </w:p>
        </w:tc>
        <w:tc>
          <w:tcPr>
            <w:tcW w:w="902"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3,996,156.0</w:t>
            </w:r>
          </w:p>
        </w:tc>
        <w:tc>
          <w:tcPr>
            <w:tcW w:w="883" w:type="dxa"/>
            <w:tcBorders>
              <w:top w:val="nil"/>
              <w:left w:val="nil"/>
              <w:bottom w:val="nil"/>
              <w:right w:val="nil"/>
            </w:tcBorders>
            <w:shd w:val="clear" w:color="auto" w:fill="auto"/>
            <w:tcMar>
              <w:left w:w="43" w:type="dxa"/>
              <w:right w:w="43" w:type="dxa"/>
            </w:tcMar>
            <w:vAlign w:val="center"/>
            <w:hideMark/>
          </w:tcPr>
          <w:p w:rsidR="00423286" w:rsidRDefault="00423286" w:rsidP="00423286">
            <w:pPr>
              <w:jc w:val="right"/>
              <w:rPr>
                <w:b/>
                <w:bCs/>
                <w:sz w:val="14"/>
                <w:szCs w:val="14"/>
              </w:rPr>
            </w:pPr>
            <w:r>
              <w:rPr>
                <w:b/>
                <w:bCs/>
                <w:sz w:val="14"/>
                <w:szCs w:val="14"/>
              </w:rPr>
              <w:t>3,688,607.8</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rFonts w:ascii="Calibri" w:hAnsi="Calibri"/>
                <w:sz w:val="22"/>
                <w:szCs w:val="22"/>
              </w:rPr>
            </w:pP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182.2</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100.9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185.4</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143.8</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119.8</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144.5</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3.6</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3.6</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835,201.5</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926,507.4</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584,556.2</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995,572.1</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1,004,843.9</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1,104,813.7</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14,822.4</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14,917.3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6,917.1</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7,086.1</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3,314.5</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3,475.2</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580.0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4,078.1</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2,691.8</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30,466.0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26,524.7</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29,785.9</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377,602.7</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381,700.3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414,238.7</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419,422.2</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416,418.4</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419,813.7</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51,484.0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51,463.5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997.0</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913.6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935.8</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936.4</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66,471.5</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70,949.7</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97,651.4</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99,556.7</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103,062.5</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106,253.9</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243,395.5</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242,984.0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299,179.2</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302,481.3</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296,154.7</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296,357.6</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20"/>
              </w:rPr>
            </w:pPr>
            <w:r>
              <w:rPr>
                <w:sz w:val="20"/>
              </w:rPr>
              <w:t>-</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16,251.7</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16,303.2</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16,411.1</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16,470.6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16,265.4</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16,265.8</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18,428.5</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18,787.3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8,682.5</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8,961.6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9,094.3</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9,179.9</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443.2</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440.9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378.1</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396.6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386.2</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383.7</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6,743.0</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7,104.1</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8,304.5</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8,565.0</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8,708.1</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8,796.3</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396,031.2</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400,487.6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422,921.3</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428,383.8</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425,512.7</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428,993.7</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770,221.1</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440,833.5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177,702.6</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418,453.1</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b/>
                <w:bCs/>
                <w:sz w:val="14"/>
                <w:szCs w:val="14"/>
              </w:rPr>
            </w:pPr>
            <w:r>
              <w:rPr>
                <w:b/>
                <w:bCs/>
                <w:sz w:val="14"/>
                <w:szCs w:val="14"/>
              </w:rPr>
              <w:t>415,515.5</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b/>
                <w:bCs/>
                <w:sz w:val="14"/>
                <w:szCs w:val="14"/>
              </w:rPr>
            </w:pPr>
            <w:r>
              <w:rPr>
                <w:b/>
                <w:bCs/>
                <w:sz w:val="14"/>
                <w:szCs w:val="14"/>
              </w:rPr>
              <w:t>1,447,864.1</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119,812.4</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87,888.1</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87,888.1</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87,888.1</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90,287.9</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5,381.6</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645,772.8</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316,742.7</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21,635.4</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262,482.1</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259,546.6</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1,290,803.8</w:t>
            </w:r>
          </w:p>
        </w:tc>
      </w:tr>
      <w:tr w:rsidR="00423286" w:rsidRPr="0000246F" w:rsidTr="00423286">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423286" w:rsidRPr="0000246F" w:rsidRDefault="00423286"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661.6</w:t>
            </w:r>
          </w:p>
        </w:tc>
        <w:tc>
          <w:tcPr>
            <w:tcW w:w="810"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656.1</w:t>
            </w:r>
          </w:p>
        </w:tc>
        <w:tc>
          <w:tcPr>
            <w:tcW w:w="900"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62,797.5</w:t>
            </w:r>
          </w:p>
        </w:tc>
        <w:tc>
          <w:tcPr>
            <w:tcW w:w="899"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62,701.4</w:t>
            </w:r>
          </w:p>
        </w:tc>
        <w:tc>
          <w:tcPr>
            <w:tcW w:w="902" w:type="dxa"/>
            <w:tcBorders>
              <w:top w:val="nil"/>
              <w:left w:val="nil"/>
              <w:bottom w:val="nil"/>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62,699.2</w:t>
            </w:r>
          </w:p>
        </w:tc>
        <w:tc>
          <w:tcPr>
            <w:tcW w:w="883" w:type="dxa"/>
            <w:tcBorders>
              <w:top w:val="nil"/>
              <w:left w:val="nil"/>
              <w:bottom w:val="nil"/>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61,390.8</w:t>
            </w:r>
          </w:p>
        </w:tc>
      </w:tr>
      <w:tr w:rsidR="00423286" w:rsidRPr="0000246F" w:rsidTr="00423286">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423286" w:rsidRPr="0000246F" w:rsidRDefault="00423286"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423286" w:rsidRDefault="00423286"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1,467,569.8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1,717,183.4</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2,270,333.8</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1,506,547.4</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47293">
            <w:pPr>
              <w:jc w:val="right"/>
              <w:rPr>
                <w:sz w:val="14"/>
                <w:szCs w:val="14"/>
              </w:rPr>
            </w:pPr>
            <w:r>
              <w:rPr>
                <w:sz w:val="14"/>
                <w:szCs w:val="14"/>
              </w:rPr>
              <w:t>2,120,321.4</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423286" w:rsidRDefault="00423286" w:rsidP="00423286">
            <w:pPr>
              <w:jc w:val="right"/>
              <w:rPr>
                <w:sz w:val="14"/>
                <w:szCs w:val="14"/>
              </w:rPr>
            </w:pPr>
            <w:r>
              <w:rPr>
                <w:sz w:val="14"/>
                <w:szCs w:val="14"/>
              </w:rPr>
              <w:t>673,527.2</w:t>
            </w:r>
          </w:p>
        </w:tc>
      </w:tr>
      <w:tr w:rsidR="00447293"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447293" w:rsidRPr="0000246F" w:rsidRDefault="00447293"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3" w:type="dxa"/>
        <w:jc w:val="center"/>
        <w:tblInd w:w="468" w:type="dxa"/>
        <w:tblLook w:val="04A0"/>
      </w:tblPr>
      <w:tblGrid>
        <w:gridCol w:w="3420"/>
        <w:gridCol w:w="900"/>
        <w:gridCol w:w="815"/>
        <w:gridCol w:w="809"/>
        <w:gridCol w:w="721"/>
        <w:gridCol w:w="720"/>
        <w:gridCol w:w="721"/>
        <w:gridCol w:w="811"/>
        <w:gridCol w:w="721"/>
        <w:gridCol w:w="815"/>
      </w:tblGrid>
      <w:tr w:rsidR="00B34F49" w:rsidRPr="00B34F49" w:rsidTr="00447293">
        <w:trPr>
          <w:trHeight w:val="375"/>
          <w:jc w:val="center"/>
        </w:trPr>
        <w:tc>
          <w:tcPr>
            <w:tcW w:w="10453"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447293">
        <w:trPr>
          <w:trHeight w:val="315"/>
          <w:jc w:val="center"/>
        </w:trPr>
        <w:tc>
          <w:tcPr>
            <w:tcW w:w="10453"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447293">
        <w:trPr>
          <w:trHeight w:val="315"/>
          <w:jc w:val="center"/>
        </w:trPr>
        <w:tc>
          <w:tcPr>
            <w:tcW w:w="10453"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D53F15" w:rsidRPr="00B34F49" w:rsidTr="00447293">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D53F15" w:rsidRPr="00B34F49" w:rsidRDefault="00D53F15"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sidRPr="00A74607">
              <w:rPr>
                <w:b/>
                <w:bCs/>
                <w:color w:val="auto"/>
                <w:szCs w:val="16"/>
              </w:rPr>
              <w:t>FY16</w:t>
            </w:r>
          </w:p>
        </w:tc>
        <w:tc>
          <w:tcPr>
            <w:tcW w:w="809" w:type="dxa"/>
            <w:vMerge w:val="restart"/>
            <w:tcBorders>
              <w:top w:val="single" w:sz="12" w:space="0" w:color="auto"/>
              <w:left w:val="single" w:sz="4" w:space="0" w:color="auto"/>
              <w:right w:val="single" w:sz="4" w:space="0" w:color="auto"/>
            </w:tcBorders>
            <w:shd w:val="clear" w:color="auto" w:fill="auto"/>
            <w:vAlign w:val="center"/>
          </w:tcPr>
          <w:p w:rsidR="00D53F15" w:rsidRPr="006619BF" w:rsidRDefault="00D53F15" w:rsidP="00C6679F">
            <w:pPr>
              <w:jc w:val="right"/>
              <w:rPr>
                <w:b/>
                <w:bCs/>
                <w:color w:val="auto"/>
                <w:szCs w:val="16"/>
              </w:rPr>
            </w:pPr>
            <w:r w:rsidRPr="00A74607">
              <w:rPr>
                <w:b/>
                <w:bCs/>
                <w:color w:val="auto"/>
                <w:szCs w:val="16"/>
              </w:rPr>
              <w:t>FY17</w:t>
            </w:r>
          </w:p>
        </w:tc>
        <w:tc>
          <w:tcPr>
            <w:tcW w:w="2162"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D53F15" w:rsidRPr="006619BF" w:rsidRDefault="00D53F15" w:rsidP="00E6261A">
            <w:pPr>
              <w:rPr>
                <w:b/>
                <w:bCs/>
                <w:color w:val="auto"/>
                <w:szCs w:val="16"/>
              </w:rPr>
            </w:pPr>
            <w:r w:rsidRPr="006619BF">
              <w:rPr>
                <w:b/>
                <w:bCs/>
                <w:color w:val="auto"/>
                <w:szCs w:val="16"/>
              </w:rPr>
              <w:t>2017</w:t>
            </w:r>
          </w:p>
        </w:tc>
        <w:tc>
          <w:tcPr>
            <w:tcW w:w="2347" w:type="dxa"/>
            <w:gridSpan w:val="3"/>
            <w:tcBorders>
              <w:top w:val="single" w:sz="12" w:space="0" w:color="auto"/>
              <w:left w:val="single" w:sz="4" w:space="0" w:color="auto"/>
              <w:bottom w:val="single" w:sz="4" w:space="0" w:color="auto"/>
              <w:right w:val="nil"/>
            </w:tcBorders>
            <w:shd w:val="clear" w:color="auto" w:fill="auto"/>
            <w:vAlign w:val="center"/>
          </w:tcPr>
          <w:p w:rsidR="00D53F15" w:rsidRPr="006619BF" w:rsidRDefault="00D53F15" w:rsidP="00E6261A">
            <w:pPr>
              <w:rPr>
                <w:b/>
                <w:bCs/>
                <w:color w:val="auto"/>
                <w:szCs w:val="16"/>
              </w:rPr>
            </w:pPr>
            <w:r>
              <w:rPr>
                <w:b/>
                <w:bCs/>
                <w:color w:val="auto"/>
                <w:szCs w:val="16"/>
              </w:rPr>
              <w:t>2018</w:t>
            </w:r>
          </w:p>
        </w:tc>
      </w:tr>
      <w:tr w:rsidR="00447293" w:rsidRPr="00F06977" w:rsidTr="00447293">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447293" w:rsidRPr="00B34F49" w:rsidRDefault="00447293" w:rsidP="00447293">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47293" w:rsidRPr="006619BF" w:rsidRDefault="00447293" w:rsidP="0044729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47293" w:rsidRPr="006619BF" w:rsidRDefault="00447293" w:rsidP="00447293">
            <w:pPr>
              <w:jc w:val="right"/>
              <w:rPr>
                <w:b/>
                <w:bCs/>
                <w:color w:val="auto"/>
                <w:sz w:val="14"/>
                <w:szCs w:val="14"/>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47293" w:rsidRPr="006619BF" w:rsidRDefault="00447293" w:rsidP="00447293">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Mar</w:t>
            </w:r>
          </w:p>
        </w:tc>
        <w:tc>
          <w:tcPr>
            <w:tcW w:w="7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Dec</w:t>
            </w:r>
          </w:p>
        </w:tc>
        <w:tc>
          <w:tcPr>
            <w:tcW w:w="81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Jan</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Feb</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447293" w:rsidRPr="006619BF" w:rsidRDefault="00447293" w:rsidP="00447293">
            <w:pPr>
              <w:jc w:val="right"/>
              <w:rPr>
                <w:b/>
                <w:color w:val="auto"/>
                <w:sz w:val="14"/>
                <w:szCs w:val="14"/>
              </w:rPr>
            </w:pPr>
            <w:r>
              <w:rPr>
                <w:b/>
                <w:color w:val="auto"/>
                <w:sz w:val="14"/>
                <w:szCs w:val="14"/>
              </w:rPr>
              <w:t xml:space="preserve">Mar </w:t>
            </w:r>
            <w:r w:rsidRPr="00D37119">
              <w:rPr>
                <w:b/>
                <w:color w:val="auto"/>
                <w:sz w:val="14"/>
                <w:szCs w:val="14"/>
                <w:vertAlign w:val="superscript"/>
              </w:rPr>
              <w:t>P</w:t>
            </w:r>
          </w:p>
        </w:tc>
      </w:tr>
      <w:tr w:rsidR="00447293" w:rsidRPr="00B34F49" w:rsidTr="00447293">
        <w:trPr>
          <w:trHeight w:hRule="exact" w:val="202"/>
          <w:jc w:val="center"/>
        </w:trPr>
        <w:tc>
          <w:tcPr>
            <w:tcW w:w="3420" w:type="dxa"/>
            <w:tcBorders>
              <w:top w:val="nil"/>
              <w:left w:val="nil"/>
              <w:bottom w:val="nil"/>
              <w:right w:val="nil"/>
            </w:tcBorders>
            <w:shd w:val="clear" w:color="auto" w:fill="auto"/>
            <w:noWrap/>
            <w:vAlign w:val="center"/>
            <w:hideMark/>
          </w:tcPr>
          <w:p w:rsidR="00447293" w:rsidRPr="00B34F49" w:rsidRDefault="00447293" w:rsidP="00447293">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47293" w:rsidRPr="00B34F49" w:rsidRDefault="00447293" w:rsidP="00447293">
            <w:pPr>
              <w:jc w:val="right"/>
              <w:rPr>
                <w:rFonts w:ascii="Calibri" w:hAnsi="Calibri"/>
                <w:sz w:val="22"/>
                <w:szCs w:val="22"/>
              </w:rPr>
            </w:pP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784,202</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781,400</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1,122,866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802,184</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921,704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1,203,504</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1,000,532</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956,223</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1,180,536</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132,575</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126,065</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185,623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144,138</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141,468</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158,249</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127,763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125,018</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133,553</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403,958</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262,861</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503,760</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434,169</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415,158</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570,825</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565,661</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502,763</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994,783</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5,812,496</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7,542,990</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8,166,143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7,467,211</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7,669,863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8,541,521</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7,637,035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8,126,896</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6,853,021</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4,120,356</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4,653,056</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5,719,604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5,012,090</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5,236,285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6,068,145</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6,096,724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6,168,067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6,354,364</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4,576,806</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5,113,688</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6,176,306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5,476,852</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5,697,414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6,529,968</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6,556,145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6,628,831</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6,812,078</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456,450</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460,632</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456,701</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464,762</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461,129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461,823</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459,422</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460,764</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457,714</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298,267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317,857</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345,652</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339,494</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340,186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374,796</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387,309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406,370</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409,440</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58,564</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54,749</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47,428</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50,940</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47,055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43,791</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45,001</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42,922</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45,572</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792,164</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626,331</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711,952</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575,736</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607,261</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633,144</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618,355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627,079</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653,082</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12,402,583</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14,365,309</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16,803,027</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14,825,962</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15,378,980</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17,593,975</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16,478,379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16,955,338</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16,624,351</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192,405</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223,062</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201,124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185,920</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174,391</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239,625</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212,353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234,223</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225,443</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1,262,884</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2,245,107</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2,654,899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1,969,858</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2,137,214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3,005,546</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2,269,408</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2,770,158</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1,774,272</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9,141,126</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10,060,188</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11,980,697</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10,730,194</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11,170,035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12,361,806</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12,002,239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11,933,267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12,571,277</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33,634</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47,696</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46,910</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51,010</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50,865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62,703</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64,703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64,699</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64,555</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48</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36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33</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32</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21</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38,510</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44,774</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35,556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39,353</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36,860</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17,795</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17,569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20,007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23,669</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465,429</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411,820</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446,232</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423,499</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433,389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514,424</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480,719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488,872</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547,787</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11,134,013</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13,032,696</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15,365,453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13,399,875</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14,002,790</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16,201,932</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15,047,023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15,511,258</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15,207,024</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1,268,570</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1,332,613</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1,437,574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1,426,089</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1,376,190</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1,392,043</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1,431,356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1,444,080</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1,417,327</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rFonts w:ascii="Calibri" w:hAnsi="Calibri"/>
                <w:sz w:val="22"/>
                <w:szCs w:val="22"/>
              </w:rPr>
            </w:pP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485,985</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538,631</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651,359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540,642</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554,889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519,320</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519,331</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518,127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517,651</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282,032</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227,497</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199,217</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236,206</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229,117</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255,511</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257,432</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262,597</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273,733</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275,770</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337,664</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392,033</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415,875</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380,344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450,214</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473,557</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475,236</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442,141</w:t>
            </w:r>
          </w:p>
        </w:tc>
      </w:tr>
      <w:tr w:rsidR="00074580" w:rsidRPr="00B34F49" w:rsidTr="00074580">
        <w:trPr>
          <w:trHeight w:hRule="exact" w:val="202"/>
          <w:jc w:val="center"/>
        </w:trPr>
        <w:tc>
          <w:tcPr>
            <w:tcW w:w="3420" w:type="dxa"/>
            <w:tcBorders>
              <w:top w:val="nil"/>
              <w:left w:val="nil"/>
              <w:bottom w:val="nil"/>
              <w:right w:val="nil"/>
            </w:tcBorders>
            <w:shd w:val="clear" w:color="auto" w:fill="auto"/>
            <w:noWrap/>
            <w:vAlign w:val="center"/>
            <w:hideMark/>
          </w:tcPr>
          <w:p w:rsidR="00074580" w:rsidRPr="00B34F49" w:rsidRDefault="00074580" w:rsidP="00447293">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224,783</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228,821</w:t>
            </w:r>
          </w:p>
        </w:tc>
        <w:tc>
          <w:tcPr>
            <w:tcW w:w="809"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194,964</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233,366</w:t>
            </w:r>
          </w:p>
        </w:tc>
        <w:tc>
          <w:tcPr>
            <w:tcW w:w="720"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211,839</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166,998</w:t>
            </w:r>
          </w:p>
        </w:tc>
        <w:tc>
          <w:tcPr>
            <w:tcW w:w="81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181,036</w:t>
            </w:r>
          </w:p>
        </w:tc>
        <w:tc>
          <w:tcPr>
            <w:tcW w:w="721" w:type="dxa"/>
            <w:tcBorders>
              <w:top w:val="nil"/>
              <w:left w:val="nil"/>
              <w:bottom w:val="nil"/>
              <w:right w:val="nil"/>
            </w:tcBorders>
            <w:shd w:val="clear" w:color="auto" w:fill="auto"/>
            <w:tcMar>
              <w:left w:w="43" w:type="dxa"/>
              <w:right w:w="43" w:type="dxa"/>
            </w:tcMar>
            <w:vAlign w:val="center"/>
            <w:hideMark/>
          </w:tcPr>
          <w:p w:rsidR="00074580" w:rsidRDefault="00074580" w:rsidP="00447293">
            <w:pPr>
              <w:jc w:val="right"/>
              <w:rPr>
                <w:sz w:val="14"/>
                <w:szCs w:val="14"/>
              </w:rPr>
            </w:pPr>
            <w:r>
              <w:rPr>
                <w:sz w:val="14"/>
                <w:szCs w:val="14"/>
              </w:rPr>
              <w:t>188,119</w:t>
            </w:r>
          </w:p>
        </w:tc>
        <w:tc>
          <w:tcPr>
            <w:tcW w:w="815" w:type="dxa"/>
            <w:tcBorders>
              <w:top w:val="nil"/>
              <w:left w:val="nil"/>
              <w:bottom w:val="nil"/>
              <w:right w:val="nil"/>
            </w:tcBorders>
            <w:shd w:val="clear" w:color="auto" w:fill="auto"/>
            <w:tcMar>
              <w:left w:w="43" w:type="dxa"/>
              <w:right w:w="43" w:type="dxa"/>
            </w:tcMar>
            <w:vAlign w:val="center"/>
            <w:hideMark/>
          </w:tcPr>
          <w:p w:rsidR="00074580" w:rsidRDefault="00074580" w:rsidP="00074580">
            <w:pPr>
              <w:jc w:val="right"/>
              <w:rPr>
                <w:sz w:val="14"/>
                <w:szCs w:val="14"/>
              </w:rPr>
            </w:pPr>
            <w:r>
              <w:rPr>
                <w:sz w:val="14"/>
                <w:szCs w:val="14"/>
              </w:rPr>
              <w:t>183,802</w:t>
            </w:r>
          </w:p>
        </w:tc>
      </w:tr>
      <w:tr w:rsidR="00074580" w:rsidRPr="00B34F49" w:rsidTr="00074580">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074580" w:rsidRPr="00B34F49" w:rsidRDefault="00074580" w:rsidP="00447293">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1,268,570</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1,332,613</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1,437,574</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1,426,089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1,376,190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1,392,043</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1,431,356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447293">
            <w:pPr>
              <w:jc w:val="right"/>
              <w:rPr>
                <w:b/>
                <w:bCs/>
                <w:sz w:val="14"/>
                <w:szCs w:val="14"/>
              </w:rPr>
            </w:pPr>
            <w:r>
              <w:rPr>
                <w:b/>
                <w:bCs/>
                <w:sz w:val="14"/>
                <w:szCs w:val="14"/>
              </w:rPr>
              <w:t>1,444,079</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074580" w:rsidRDefault="00074580" w:rsidP="00074580">
            <w:pPr>
              <w:jc w:val="right"/>
              <w:rPr>
                <w:b/>
                <w:bCs/>
                <w:sz w:val="14"/>
                <w:szCs w:val="14"/>
              </w:rPr>
            </w:pPr>
            <w:r>
              <w:rPr>
                <w:b/>
                <w:bCs/>
                <w:sz w:val="14"/>
                <w:szCs w:val="14"/>
              </w:rPr>
              <w:t>1,417,327</w:t>
            </w:r>
          </w:p>
        </w:tc>
      </w:tr>
      <w:tr w:rsidR="00447293" w:rsidRPr="00B34F49" w:rsidTr="00447293">
        <w:trPr>
          <w:trHeight w:hRule="exact" w:val="192"/>
          <w:jc w:val="center"/>
        </w:trPr>
        <w:tc>
          <w:tcPr>
            <w:tcW w:w="10453" w:type="dxa"/>
            <w:gridSpan w:val="10"/>
            <w:tcBorders>
              <w:top w:val="nil"/>
              <w:left w:val="nil"/>
              <w:bottom w:val="nil"/>
              <w:right w:val="nil"/>
            </w:tcBorders>
            <w:shd w:val="clear" w:color="auto" w:fill="auto"/>
            <w:noWrap/>
            <w:vAlign w:val="center"/>
            <w:hideMark/>
          </w:tcPr>
          <w:p w:rsidR="00447293" w:rsidRPr="00B34F49" w:rsidRDefault="00447293" w:rsidP="00447293">
            <w:pPr>
              <w:jc w:val="right"/>
              <w:rPr>
                <w:b/>
                <w:bCs/>
                <w:sz w:val="14"/>
                <w:szCs w:val="14"/>
              </w:rPr>
            </w:pPr>
            <w:r w:rsidRPr="00B34F49">
              <w:rPr>
                <w:color w:val="auto"/>
                <w:sz w:val="14"/>
                <w:szCs w:val="16"/>
              </w:rPr>
              <w:t>Source: Off-Site Supervision &amp; Enforcement  Department SBP</w:t>
            </w:r>
          </w:p>
        </w:tc>
      </w:tr>
      <w:tr w:rsidR="00447293" w:rsidRPr="00B34F49" w:rsidTr="00447293">
        <w:trPr>
          <w:trHeight w:hRule="exact" w:val="390"/>
          <w:jc w:val="center"/>
        </w:trPr>
        <w:tc>
          <w:tcPr>
            <w:tcW w:w="10453"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447293" w:rsidRPr="00B34F49" w:rsidRDefault="00447293" w:rsidP="00447293">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447293" w:rsidRPr="00B34F49" w:rsidTr="00447293">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447293" w:rsidRPr="00B34F49" w:rsidRDefault="00447293" w:rsidP="0044729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Cs w:val="16"/>
              </w:rPr>
            </w:pPr>
            <w:r w:rsidRPr="00A74607">
              <w:rPr>
                <w:b/>
                <w:bCs/>
                <w:color w:val="auto"/>
                <w:szCs w:val="16"/>
              </w:rPr>
              <w:t>FY16</w:t>
            </w:r>
          </w:p>
        </w:tc>
        <w:tc>
          <w:tcPr>
            <w:tcW w:w="809" w:type="dxa"/>
            <w:vMerge w:val="restart"/>
            <w:tcBorders>
              <w:top w:val="single" w:sz="12" w:space="0" w:color="auto"/>
              <w:left w:val="single" w:sz="4" w:space="0" w:color="auto"/>
              <w:right w:val="single" w:sz="4" w:space="0" w:color="auto"/>
            </w:tcBorders>
            <w:shd w:val="clear" w:color="auto" w:fill="auto"/>
            <w:vAlign w:val="center"/>
          </w:tcPr>
          <w:p w:rsidR="00447293" w:rsidRPr="006619BF" w:rsidRDefault="00447293" w:rsidP="00447293">
            <w:pPr>
              <w:jc w:val="right"/>
              <w:rPr>
                <w:b/>
                <w:bCs/>
                <w:color w:val="auto"/>
                <w:szCs w:val="16"/>
              </w:rPr>
            </w:pPr>
            <w:r w:rsidRPr="00A74607">
              <w:rPr>
                <w:b/>
                <w:bCs/>
                <w:color w:val="auto"/>
                <w:szCs w:val="16"/>
              </w:rPr>
              <w:t>FY17</w:t>
            </w:r>
          </w:p>
        </w:tc>
        <w:tc>
          <w:tcPr>
            <w:tcW w:w="297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447293" w:rsidRPr="006619BF" w:rsidRDefault="00447293" w:rsidP="00447293">
            <w:pPr>
              <w:rPr>
                <w:b/>
                <w:bCs/>
                <w:color w:val="auto"/>
                <w:szCs w:val="16"/>
              </w:rPr>
            </w:pPr>
            <w:r w:rsidRPr="006619BF">
              <w:rPr>
                <w:b/>
                <w:bCs/>
                <w:color w:val="auto"/>
                <w:szCs w:val="16"/>
              </w:rPr>
              <w:t>2017</w:t>
            </w:r>
          </w:p>
        </w:tc>
        <w:tc>
          <w:tcPr>
            <w:tcW w:w="1536" w:type="dxa"/>
            <w:gridSpan w:val="2"/>
            <w:tcBorders>
              <w:top w:val="single" w:sz="12" w:space="0" w:color="auto"/>
              <w:left w:val="single" w:sz="4" w:space="0" w:color="auto"/>
              <w:bottom w:val="single" w:sz="4" w:space="0" w:color="auto"/>
              <w:right w:val="nil"/>
            </w:tcBorders>
            <w:shd w:val="clear" w:color="auto" w:fill="auto"/>
            <w:vAlign w:val="center"/>
          </w:tcPr>
          <w:p w:rsidR="00447293" w:rsidRPr="006619BF" w:rsidRDefault="00447293" w:rsidP="00447293">
            <w:pPr>
              <w:rPr>
                <w:b/>
                <w:bCs/>
                <w:color w:val="auto"/>
                <w:szCs w:val="16"/>
              </w:rPr>
            </w:pPr>
            <w:r>
              <w:rPr>
                <w:b/>
                <w:bCs/>
                <w:color w:val="auto"/>
                <w:szCs w:val="16"/>
              </w:rPr>
              <w:t>2018</w:t>
            </w:r>
          </w:p>
        </w:tc>
      </w:tr>
      <w:tr w:rsidR="00447293" w:rsidRPr="00B34F49" w:rsidTr="00423286">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447293" w:rsidRPr="00B34F49" w:rsidRDefault="00447293" w:rsidP="0044729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p>
        </w:tc>
        <w:tc>
          <w:tcPr>
            <w:tcW w:w="80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447293" w:rsidRPr="006619BF" w:rsidRDefault="00447293" w:rsidP="00C62A4E">
            <w:pPr>
              <w:jc w:val="right"/>
              <w:rPr>
                <w:b/>
                <w:bCs/>
                <w:color w:val="auto"/>
                <w:sz w:val="14"/>
                <w:szCs w:val="14"/>
              </w:rPr>
            </w:pPr>
            <w:r>
              <w:rPr>
                <w:b/>
                <w:bCs/>
                <w:color w:val="auto"/>
                <w:sz w:val="14"/>
                <w:szCs w:val="14"/>
              </w:rPr>
              <w:t>Jan</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r>
              <w:rPr>
                <w:b/>
                <w:bCs/>
                <w:color w:val="auto"/>
                <w:sz w:val="14"/>
                <w:szCs w:val="14"/>
              </w:rPr>
              <w:t>Feb</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447293" w:rsidRPr="006619BF" w:rsidRDefault="00447293" w:rsidP="00C62A4E">
            <w:pPr>
              <w:jc w:val="right"/>
              <w:rPr>
                <w:b/>
                <w:bCs/>
                <w:color w:val="auto"/>
                <w:sz w:val="14"/>
                <w:szCs w:val="14"/>
              </w:rPr>
            </w:pPr>
            <w:r>
              <w:rPr>
                <w:b/>
                <w:bCs/>
                <w:color w:val="auto"/>
                <w:sz w:val="14"/>
                <w:szCs w:val="14"/>
              </w:rPr>
              <w:t>Nov</w:t>
            </w:r>
          </w:p>
        </w:tc>
        <w:tc>
          <w:tcPr>
            <w:tcW w:w="81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447293" w:rsidRPr="006619BF" w:rsidRDefault="00447293" w:rsidP="00C62A4E">
            <w:pPr>
              <w:jc w:val="right"/>
              <w:rPr>
                <w:b/>
                <w:bCs/>
                <w:color w:val="auto"/>
                <w:sz w:val="14"/>
                <w:szCs w:val="14"/>
              </w:rPr>
            </w:pPr>
            <w:r>
              <w:rPr>
                <w:b/>
                <w:bCs/>
                <w:color w:val="auto"/>
                <w:sz w:val="14"/>
                <w:szCs w:val="14"/>
              </w:rPr>
              <w:t>Dec</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r>
              <w:rPr>
                <w:b/>
                <w:bCs/>
                <w:color w:val="auto"/>
                <w:sz w:val="14"/>
                <w:szCs w:val="14"/>
              </w:rPr>
              <w:t>Jan</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447293" w:rsidRPr="006619BF" w:rsidRDefault="00447293" w:rsidP="00447293">
            <w:pPr>
              <w:jc w:val="right"/>
              <w:rPr>
                <w:b/>
                <w:bCs/>
                <w:color w:val="auto"/>
                <w:sz w:val="14"/>
                <w:szCs w:val="14"/>
              </w:rPr>
            </w:pPr>
            <w:r>
              <w:rPr>
                <w:b/>
                <w:bCs/>
                <w:color w:val="auto"/>
                <w:sz w:val="14"/>
                <w:szCs w:val="14"/>
              </w:rPr>
              <w:t xml:space="preserve">Feb </w:t>
            </w:r>
            <w:r w:rsidRPr="00447293">
              <w:rPr>
                <w:b/>
                <w:bCs/>
                <w:color w:val="auto"/>
                <w:sz w:val="14"/>
                <w:szCs w:val="14"/>
                <w:vertAlign w:val="superscript"/>
              </w:rPr>
              <w:t>P</w:t>
            </w:r>
          </w:p>
        </w:tc>
      </w:tr>
      <w:tr w:rsidR="00876F2A" w:rsidRPr="00B34F49" w:rsidTr="00876F2A">
        <w:trPr>
          <w:trHeight w:hRule="exact" w:val="327"/>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8,458,134</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9,253,472</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9,278,998</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10,402,200</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10,816,899</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10,361,349</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10,291,590</w:t>
            </w:r>
          </w:p>
        </w:tc>
      </w:tr>
      <w:tr w:rsidR="00876F2A" w:rsidRPr="00B34F49" w:rsidTr="00876F2A">
        <w:trPr>
          <w:trHeight w:hRule="exact" w:val="324"/>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1,220,212</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1,259,366</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1,270,864</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1,366,247</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1,356,592</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1,392,277</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1,422,566</w:t>
            </w:r>
          </w:p>
        </w:tc>
      </w:tr>
      <w:tr w:rsidR="00876F2A" w:rsidRPr="00B34F49" w:rsidTr="00876F2A">
        <w:trPr>
          <w:trHeight w:hRule="exact" w:val="360"/>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b/>
                <w:bCs/>
                <w:sz w:val="14"/>
                <w:szCs w:val="14"/>
              </w:rPr>
            </w:pPr>
            <w:r>
              <w:rPr>
                <w:b/>
                <w:bCs/>
                <w:sz w:val="14"/>
                <w:szCs w:val="14"/>
              </w:rPr>
              <w:t>9,678,346</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10,512,838</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b/>
                <w:bCs/>
                <w:sz w:val="14"/>
                <w:szCs w:val="14"/>
              </w:rPr>
            </w:pPr>
            <w:r>
              <w:rPr>
                <w:b/>
                <w:bCs/>
                <w:sz w:val="14"/>
                <w:szCs w:val="14"/>
              </w:rPr>
              <w:t>10,549,862</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11,768,447</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12,173,490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11,753,626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b/>
                <w:bCs/>
                <w:sz w:val="14"/>
                <w:szCs w:val="14"/>
              </w:rPr>
            </w:pPr>
            <w:r>
              <w:rPr>
                <w:b/>
                <w:bCs/>
                <w:sz w:val="14"/>
                <w:szCs w:val="14"/>
              </w:rPr>
              <w:t>11,714,156</w:t>
            </w:r>
          </w:p>
        </w:tc>
      </w:tr>
      <w:tr w:rsidR="00876F2A" w:rsidRPr="00B34F49" w:rsidTr="00876F2A">
        <w:trPr>
          <w:trHeight w:hRule="exact" w:val="360"/>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b/>
                <w:bCs/>
                <w:sz w:val="14"/>
                <w:szCs w:val="14"/>
              </w:rPr>
            </w:pPr>
            <w:r>
              <w:rPr>
                <w:b/>
                <w:bCs/>
                <w:sz w:val="14"/>
                <w:szCs w:val="14"/>
              </w:rPr>
              <w:t>4,216,854</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4,957,797</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b/>
                <w:bCs/>
                <w:sz w:val="14"/>
                <w:szCs w:val="14"/>
              </w:rPr>
            </w:pPr>
            <w:r>
              <w:rPr>
                <w:b/>
                <w:bCs/>
                <w:sz w:val="14"/>
                <w:szCs w:val="14"/>
              </w:rPr>
              <w:t>5,015,695</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5,811,868</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6,044,358</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b/>
                <w:bCs/>
                <w:sz w:val="14"/>
                <w:szCs w:val="14"/>
              </w:rPr>
            </w:pPr>
            <w:r>
              <w:rPr>
                <w:b/>
                <w:bCs/>
                <w:sz w:val="14"/>
                <w:szCs w:val="14"/>
              </w:rPr>
              <w:t>5,516,226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b/>
                <w:bCs/>
                <w:sz w:val="14"/>
                <w:szCs w:val="14"/>
              </w:rPr>
            </w:pPr>
            <w:r>
              <w:rPr>
                <w:b/>
                <w:bCs/>
                <w:sz w:val="14"/>
                <w:szCs w:val="14"/>
              </w:rPr>
              <w:t>5,455,175</w:t>
            </w:r>
          </w:p>
        </w:tc>
      </w:tr>
      <w:tr w:rsidR="00876F2A" w:rsidRPr="00B34F49" w:rsidTr="00876F2A">
        <w:trPr>
          <w:trHeight w:hRule="exact" w:val="270"/>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194,414</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200,641</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206,397</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243,636</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256,441</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235,948</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234,510</w:t>
            </w:r>
          </w:p>
        </w:tc>
      </w:tr>
      <w:tr w:rsidR="00876F2A" w:rsidRPr="00B34F49" w:rsidTr="00876F2A">
        <w:trPr>
          <w:trHeight w:hRule="exact" w:val="270"/>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425,286</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446,739</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407,366</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565,840</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586,015</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523,994</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483,028</w:t>
            </w:r>
          </w:p>
        </w:tc>
      </w:tr>
      <w:tr w:rsidR="00876F2A" w:rsidRPr="00B34F49" w:rsidTr="00876F2A">
        <w:trPr>
          <w:trHeight w:hRule="exact" w:val="315"/>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34,132</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42,439</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45,144</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114,210</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185,653</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65,102</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60,431</w:t>
            </w:r>
          </w:p>
        </w:tc>
      </w:tr>
      <w:tr w:rsidR="00876F2A" w:rsidRPr="00B34F49" w:rsidTr="00876F2A">
        <w:trPr>
          <w:trHeight w:hRule="exact" w:val="279"/>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3,544,525</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4,249,748</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4,338,560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4,864,214</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4,991,604</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4,666,527</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4,652,548</w:t>
            </w:r>
          </w:p>
        </w:tc>
      </w:tr>
      <w:tr w:rsidR="00876F2A" w:rsidRPr="00B34F49" w:rsidTr="00876F2A">
        <w:trPr>
          <w:trHeight w:hRule="exact" w:val="324"/>
          <w:jc w:val="center"/>
        </w:trPr>
        <w:tc>
          <w:tcPr>
            <w:tcW w:w="3420" w:type="dxa"/>
            <w:tcBorders>
              <w:top w:val="nil"/>
              <w:left w:val="nil"/>
              <w:bottom w:val="nil"/>
              <w:right w:val="nil"/>
            </w:tcBorders>
            <w:shd w:val="clear" w:color="auto" w:fill="auto"/>
            <w:vAlign w:val="center"/>
            <w:hideMark/>
          </w:tcPr>
          <w:p w:rsidR="00876F2A" w:rsidRPr="007E3CF2" w:rsidRDefault="00876F2A" w:rsidP="0044729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18,267</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17,999</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17,999</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23,738</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24,414</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24,426</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24,428</w:t>
            </w:r>
          </w:p>
        </w:tc>
      </w:tr>
      <w:tr w:rsidR="00876F2A" w:rsidRPr="00B34F49" w:rsidTr="00876F2A">
        <w:trPr>
          <w:trHeight w:hRule="exact" w:val="202"/>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230</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230</w:t>
            </w:r>
          </w:p>
        </w:tc>
      </w:tr>
      <w:tr w:rsidR="00876F2A" w:rsidRPr="00B34F49" w:rsidTr="00876F2A">
        <w:trPr>
          <w:trHeight w:hRule="exact" w:val="315"/>
          <w:jc w:val="center"/>
        </w:trPr>
        <w:tc>
          <w:tcPr>
            <w:tcW w:w="3420" w:type="dxa"/>
            <w:tcBorders>
              <w:top w:val="nil"/>
              <w:left w:val="nil"/>
              <w:bottom w:val="nil"/>
              <w:right w:val="nil"/>
            </w:tcBorders>
            <w:shd w:val="clear" w:color="auto" w:fill="auto"/>
            <w:vAlign w:val="center"/>
            <w:hideMark/>
          </w:tcPr>
          <w:p w:rsidR="00876F2A" w:rsidRPr="00B34F49" w:rsidRDefault="00876F2A" w:rsidP="0044729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2,029,928</w:t>
            </w:r>
          </w:p>
        </w:tc>
        <w:tc>
          <w:tcPr>
            <w:tcW w:w="809" w:type="dxa"/>
            <w:tcBorders>
              <w:top w:val="nil"/>
              <w:left w:val="nil"/>
              <w:bottom w:val="nil"/>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2,156,481</w:t>
            </w:r>
          </w:p>
        </w:tc>
        <w:tc>
          <w:tcPr>
            <w:tcW w:w="720" w:type="dxa"/>
            <w:tcBorders>
              <w:top w:val="nil"/>
              <w:left w:val="nil"/>
              <w:bottom w:val="nil"/>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2,162,743</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2,418,929</w:t>
            </w:r>
          </w:p>
        </w:tc>
        <w:tc>
          <w:tcPr>
            <w:tcW w:w="81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2,514,126</w:t>
            </w:r>
          </w:p>
        </w:tc>
        <w:tc>
          <w:tcPr>
            <w:tcW w:w="721" w:type="dxa"/>
            <w:tcBorders>
              <w:top w:val="nil"/>
              <w:left w:val="nil"/>
              <w:bottom w:val="nil"/>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2,406,618</w:t>
            </w:r>
          </w:p>
        </w:tc>
        <w:tc>
          <w:tcPr>
            <w:tcW w:w="815" w:type="dxa"/>
            <w:tcBorders>
              <w:top w:val="nil"/>
              <w:left w:val="nil"/>
              <w:bottom w:val="nil"/>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2,390,046</w:t>
            </w:r>
          </w:p>
        </w:tc>
      </w:tr>
      <w:tr w:rsidR="00876F2A" w:rsidRPr="00B34F49" w:rsidTr="00876F2A">
        <w:trPr>
          <w:trHeight w:hRule="exact" w:val="297"/>
          <w:jc w:val="center"/>
        </w:trPr>
        <w:tc>
          <w:tcPr>
            <w:tcW w:w="3420" w:type="dxa"/>
            <w:tcBorders>
              <w:top w:val="nil"/>
              <w:left w:val="nil"/>
              <w:bottom w:val="single" w:sz="12" w:space="0" w:color="auto"/>
              <w:right w:val="nil"/>
            </w:tcBorders>
            <w:shd w:val="clear" w:color="auto" w:fill="auto"/>
            <w:vAlign w:val="center"/>
            <w:hideMark/>
          </w:tcPr>
          <w:p w:rsidR="00876F2A" w:rsidRPr="00B34F49" w:rsidRDefault="00876F2A" w:rsidP="0044729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2,186,926</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447293">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2,801,316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074580">
            <w:pPr>
              <w:jc w:val="right"/>
              <w:rPr>
                <w:sz w:val="14"/>
                <w:szCs w:val="14"/>
              </w:rPr>
            </w:pPr>
            <w:r>
              <w:rPr>
                <w:sz w:val="14"/>
                <w:szCs w:val="14"/>
              </w:rPr>
              <w:t>2,852,953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3,392,939</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3,530,232</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C62A4E">
            <w:pPr>
              <w:jc w:val="right"/>
              <w:rPr>
                <w:sz w:val="14"/>
                <w:szCs w:val="14"/>
              </w:rPr>
            </w:pPr>
            <w:r>
              <w:rPr>
                <w:sz w:val="14"/>
                <w:szCs w:val="14"/>
              </w:rPr>
              <w:t>3,109,609</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76F2A" w:rsidRDefault="00876F2A" w:rsidP="00876F2A">
            <w:pPr>
              <w:jc w:val="right"/>
              <w:rPr>
                <w:sz w:val="14"/>
                <w:szCs w:val="14"/>
              </w:rPr>
            </w:pPr>
            <w:r>
              <w:rPr>
                <w:sz w:val="14"/>
                <w:szCs w:val="14"/>
              </w:rPr>
              <w:t>3,065,130</w:t>
            </w:r>
          </w:p>
        </w:tc>
      </w:tr>
      <w:tr w:rsidR="00447293" w:rsidRPr="00B34F49" w:rsidTr="00447293">
        <w:trPr>
          <w:trHeight w:val="177"/>
          <w:jc w:val="center"/>
        </w:trPr>
        <w:tc>
          <w:tcPr>
            <w:tcW w:w="3420" w:type="dxa"/>
            <w:tcBorders>
              <w:top w:val="nil"/>
              <w:left w:val="nil"/>
              <w:bottom w:val="nil"/>
              <w:right w:val="nil"/>
            </w:tcBorders>
            <w:shd w:val="clear" w:color="auto" w:fill="auto"/>
            <w:noWrap/>
            <w:vAlign w:val="bottom"/>
            <w:hideMark/>
          </w:tcPr>
          <w:p w:rsidR="00447293" w:rsidRPr="00B34F49" w:rsidRDefault="00447293" w:rsidP="00447293">
            <w:pPr>
              <w:jc w:val="left"/>
              <w:rPr>
                <w:sz w:val="14"/>
                <w:szCs w:val="14"/>
              </w:rPr>
            </w:pPr>
          </w:p>
        </w:tc>
        <w:tc>
          <w:tcPr>
            <w:tcW w:w="7033" w:type="dxa"/>
            <w:gridSpan w:val="9"/>
            <w:tcBorders>
              <w:top w:val="single" w:sz="12" w:space="0" w:color="auto"/>
              <w:left w:val="nil"/>
              <w:bottom w:val="nil"/>
              <w:right w:val="nil"/>
            </w:tcBorders>
            <w:shd w:val="clear" w:color="auto" w:fill="auto"/>
            <w:noWrap/>
            <w:vAlign w:val="bottom"/>
            <w:hideMark/>
          </w:tcPr>
          <w:p w:rsidR="00447293" w:rsidRPr="00B34F49" w:rsidRDefault="00447293" w:rsidP="00447293">
            <w:pPr>
              <w:jc w:val="right"/>
              <w:rPr>
                <w:color w:val="auto"/>
                <w:sz w:val="14"/>
                <w:szCs w:val="14"/>
              </w:rPr>
            </w:pPr>
            <w:r w:rsidRPr="00B34F49">
              <w:rPr>
                <w:color w:val="auto"/>
                <w:sz w:val="14"/>
                <w:szCs w:val="16"/>
              </w:rPr>
              <w:t xml:space="preserve">Source: Off-Site Supervision &amp; Enforcement  Department SBP </w:t>
            </w:r>
          </w:p>
        </w:tc>
      </w:tr>
      <w:tr w:rsidR="00447293" w:rsidRPr="00B34F49" w:rsidTr="00447293">
        <w:trPr>
          <w:trHeight w:val="180"/>
          <w:jc w:val="center"/>
        </w:trPr>
        <w:tc>
          <w:tcPr>
            <w:tcW w:w="10453" w:type="dxa"/>
            <w:gridSpan w:val="10"/>
            <w:tcBorders>
              <w:top w:val="nil"/>
              <w:left w:val="nil"/>
              <w:bottom w:val="nil"/>
              <w:right w:val="nil"/>
            </w:tcBorders>
            <w:shd w:val="clear" w:color="auto" w:fill="auto"/>
            <w:noWrap/>
            <w:vAlign w:val="center"/>
            <w:hideMark/>
          </w:tcPr>
          <w:p w:rsidR="00447293" w:rsidRPr="00B34F49" w:rsidRDefault="00447293" w:rsidP="00447293">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C6679F" w:rsidP="007E2F90">
            <w:pPr>
              <w:rPr>
                <w:b/>
                <w:color w:val="auto"/>
                <w:szCs w:val="16"/>
              </w:rPr>
            </w:pPr>
            <w:r>
              <w:rPr>
                <w:b/>
                <w:color w:val="auto"/>
                <w:szCs w:val="16"/>
              </w:rPr>
              <w:t>Dec</w:t>
            </w:r>
            <w:r w:rsidR="007E2F90" w:rsidRPr="00D5469A">
              <w:rPr>
                <w:b/>
                <w:color w:val="auto"/>
                <w:szCs w:val="16"/>
              </w:rPr>
              <w:t>-1</w:t>
            </w:r>
            <w:r>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E6216B" w:rsidP="002C7066">
            <w:pPr>
              <w:rPr>
                <w:b/>
                <w:color w:val="auto"/>
                <w:szCs w:val="16"/>
              </w:rPr>
            </w:pPr>
            <w:r>
              <w:rPr>
                <w:b/>
                <w:color w:val="auto"/>
                <w:szCs w:val="16"/>
              </w:rPr>
              <w:t>Dec</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12,024</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196,778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32,902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241,704</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10,667</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263,964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42,585</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317,216</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359</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2,568</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2,929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1,566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4,020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5,589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8,819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166,056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26,547</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201,423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3,306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203,567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28,929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235,801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4,540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2,133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6,673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2,081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2,614</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4,695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3,204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25,822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1,653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30,679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7,358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56,750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7,022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71,130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82,328</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78,462</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32,000</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192,791</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95,304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90,274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44,548</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230,127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37,658</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45,995</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30,380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114,033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72,305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50,861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44,006</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167,172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44,670</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32,467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1,620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78,757</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22,998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39,414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543</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62,955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85,407</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68,624</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92,731</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246,762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94,210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85,306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139,493</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319,008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17,246</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20,187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79,376</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116,809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19,977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20,970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110,027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150,974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68,161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48,437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13,355</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129,953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74,233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64,336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29,465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168,035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31,775</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373,148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404,924</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31,518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362,629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394,147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27,121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354,827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381,947</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25,566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346,965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372,531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4,655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18,322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22,976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5,952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15,664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21,617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2D42D6"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33</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2D42D6"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12,586</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51,115</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8,994</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72,695</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13,794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40,699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16,197</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70,690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4,755</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18,728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8,321</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31,803</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4,744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41,624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11,496</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57,864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1B2736" w:rsidRDefault="00E6216B"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4,607</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13,809</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7,995</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26,411</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4,596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25,025</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11,256</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40,877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4,465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12,917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6,643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24,025</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4,451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23,202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9,564</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37,217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270</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699</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699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Pr="00D5469A" w:rsidRDefault="00E6216B" w:rsidP="00E6216B">
            <w:pPr>
              <w:jc w:val="right"/>
              <w:rPr>
                <w:color w:val="auto"/>
                <w:sz w:val="14"/>
                <w:szCs w:val="14"/>
              </w:rPr>
            </w:pPr>
            <w:r w:rsidRPr="00D5469A">
              <w:rPr>
                <w:color w:val="auto"/>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Pr="00D5469A" w:rsidRDefault="00E6216B" w:rsidP="00E6216B">
            <w:pPr>
              <w:jc w:val="right"/>
              <w:rPr>
                <w:color w:val="auto"/>
                <w:sz w:val="14"/>
                <w:szCs w:val="14"/>
              </w:rPr>
            </w:pPr>
            <w:r w:rsidRPr="00D5469A">
              <w:rPr>
                <w:color w:val="auto"/>
                <w:sz w:val="14"/>
                <w:szCs w:val="14"/>
              </w:rPr>
              <w:t>..</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388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388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142</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1,352</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2,116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736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1,691</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2,573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1B2736" w:rsidRDefault="00E6216B"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4,919</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326</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5,392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16,598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240</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16,986</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833</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1,245</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1,754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2,054</w:t>
            </w:r>
          </w:p>
        </w:tc>
      </w:tr>
      <w:tr w:rsidR="00E6216B" w:rsidRPr="00D5469A" w:rsidTr="00E6216B">
        <w:trPr>
          <w:trHeight w:hRule="exact" w:val="230"/>
        </w:trPr>
        <w:tc>
          <w:tcPr>
            <w:tcW w:w="1794" w:type="pct"/>
            <w:tcBorders>
              <w:top w:val="nil"/>
              <w:left w:val="nil"/>
              <w:right w:val="nil"/>
            </w:tcBorders>
            <w:shd w:val="clear" w:color="auto" w:fill="auto"/>
            <w:noWrap/>
            <w:vAlign w:val="center"/>
          </w:tcPr>
          <w:p w:rsidR="00E6216B" w:rsidRPr="00D5469A" w:rsidRDefault="00E6216B"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4,086</w:t>
            </w:r>
          </w:p>
        </w:tc>
        <w:tc>
          <w:tcPr>
            <w:tcW w:w="369"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61</w:t>
            </w:r>
          </w:p>
        </w:tc>
        <w:tc>
          <w:tcPr>
            <w:tcW w:w="417"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4,147</w:t>
            </w:r>
          </w:p>
        </w:tc>
        <w:tc>
          <w:tcPr>
            <w:tcW w:w="431"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14,844</w:t>
            </w:r>
          </w:p>
        </w:tc>
        <w:tc>
          <w:tcPr>
            <w:tcW w:w="416"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88</w:t>
            </w:r>
          </w:p>
        </w:tc>
        <w:tc>
          <w:tcPr>
            <w:tcW w:w="417"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14,932</w:t>
            </w:r>
          </w:p>
        </w:tc>
      </w:tr>
      <w:tr w:rsidR="00E6216B" w:rsidRPr="00D5469A" w:rsidTr="00E6216B">
        <w:trPr>
          <w:trHeight w:hRule="exact" w:val="230"/>
        </w:trPr>
        <w:tc>
          <w:tcPr>
            <w:tcW w:w="1794" w:type="pct"/>
            <w:tcBorders>
              <w:left w:val="nil"/>
              <w:right w:val="nil"/>
            </w:tcBorders>
            <w:shd w:val="clear" w:color="auto" w:fill="auto"/>
            <w:noWrap/>
            <w:vAlign w:val="center"/>
          </w:tcPr>
          <w:p w:rsidR="00E6216B" w:rsidRPr="00D5469A" w:rsidRDefault="00E6216B"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228,876</w:t>
            </w:r>
          </w:p>
        </w:tc>
        <w:tc>
          <w:tcPr>
            <w:tcW w:w="371"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786,923</w:t>
            </w:r>
          </w:p>
        </w:tc>
        <w:tc>
          <w:tcPr>
            <w:tcW w:w="369"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174,950</w:t>
            </w:r>
          </w:p>
        </w:tc>
        <w:tc>
          <w:tcPr>
            <w:tcW w:w="417"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1,190,749</w:t>
            </w:r>
          </w:p>
        </w:tc>
        <w:tc>
          <w:tcPr>
            <w:tcW w:w="431"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250,237</w:t>
            </w:r>
          </w:p>
        </w:tc>
        <w:tc>
          <w:tcPr>
            <w:tcW w:w="416"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884,496</w:t>
            </w:r>
          </w:p>
        </w:tc>
        <w:tc>
          <w:tcPr>
            <w:tcW w:w="416"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254,353</w:t>
            </w:r>
          </w:p>
        </w:tc>
        <w:tc>
          <w:tcPr>
            <w:tcW w:w="417"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1,389,086</w:t>
            </w:r>
          </w:p>
        </w:tc>
      </w:tr>
      <w:tr w:rsidR="00E6216B" w:rsidRPr="00D5469A" w:rsidTr="00E6216B">
        <w:trPr>
          <w:trHeight w:hRule="exact" w:val="230"/>
        </w:trPr>
        <w:tc>
          <w:tcPr>
            <w:tcW w:w="1794" w:type="pct"/>
            <w:tcBorders>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9,259</w:t>
            </w:r>
          </w:p>
        </w:tc>
        <w:tc>
          <w:tcPr>
            <w:tcW w:w="371"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35,399</w:t>
            </w:r>
          </w:p>
        </w:tc>
        <w:tc>
          <w:tcPr>
            <w:tcW w:w="369"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121,058</w:t>
            </w:r>
          </w:p>
        </w:tc>
        <w:tc>
          <w:tcPr>
            <w:tcW w:w="417"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165,717</w:t>
            </w:r>
          </w:p>
        </w:tc>
        <w:tc>
          <w:tcPr>
            <w:tcW w:w="431"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17,279</w:t>
            </w:r>
          </w:p>
        </w:tc>
        <w:tc>
          <w:tcPr>
            <w:tcW w:w="416"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31,877</w:t>
            </w:r>
          </w:p>
        </w:tc>
        <w:tc>
          <w:tcPr>
            <w:tcW w:w="416"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186,916</w:t>
            </w:r>
          </w:p>
        </w:tc>
        <w:tc>
          <w:tcPr>
            <w:tcW w:w="417"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236,072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272</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20,607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21,028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18,283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18,584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8,987</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14,792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120,910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144,689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16,987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13,594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186,907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217,488</w:t>
            </w:r>
          </w:p>
        </w:tc>
      </w:tr>
      <w:tr w:rsidR="00E6216B" w:rsidRPr="00D5469A" w:rsidTr="00E6216B">
        <w:trPr>
          <w:trHeight w:hRule="exact" w:val="378"/>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2,735</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3,737</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3,829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750</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5,580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704</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704</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2,712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2,712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2,031</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3,032</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1,116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750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2,868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100,003</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27,598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14,464</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142,065</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100,871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38,821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13,652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153,344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67,729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9,072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1,668</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78,469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71,985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9,477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1,459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82,920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32,274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18,526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12,797</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63,596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28,886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29,344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12,193</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70,423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308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308</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36,052</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79,906</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15,385</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131,343</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31,810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89,979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20,562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142,351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82,560</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640,977</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24,042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747,580</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99,276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719,991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32,472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851,739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326,326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328,526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390,424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392,924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122,366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15,749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187,124</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265,697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18,542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349,611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16,209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34,120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2,339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52,668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20,664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60,432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3,027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84,123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6,715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36,497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2,506</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45,718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3,432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(19,739)</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5,955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(10,352)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11,304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102,576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1,251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115,130</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12,604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14,105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29,213</w:t>
            </w:r>
          </w:p>
        </w:tc>
      </w:tr>
      <w:tr w:rsidR="00E6216B" w:rsidRPr="00D5469A" w:rsidTr="00E6216B">
        <w:trPr>
          <w:trHeight w:hRule="exact" w:val="230"/>
        </w:trPr>
        <w:tc>
          <w:tcPr>
            <w:tcW w:w="1794" w:type="pct"/>
            <w:tcBorders>
              <w:top w:val="nil"/>
              <w:left w:val="nil"/>
              <w:bottom w:val="single" w:sz="12" w:space="0" w:color="auto"/>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(676)</w:t>
            </w:r>
          </w:p>
        </w:tc>
        <w:tc>
          <w:tcPr>
            <w:tcW w:w="371"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19,092</w:t>
            </w:r>
          </w:p>
        </w:tc>
        <w:tc>
          <w:tcPr>
            <w:tcW w:w="369"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18,414</w:t>
            </w:r>
          </w:p>
        </w:tc>
        <w:tc>
          <w:tcPr>
            <w:tcW w:w="431"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(2,796)</w:t>
            </w:r>
          </w:p>
        </w:tc>
        <w:tc>
          <w:tcPr>
            <w:tcW w:w="416"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9,071</w:t>
            </w:r>
          </w:p>
        </w:tc>
        <w:tc>
          <w:tcPr>
            <w:tcW w:w="416"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(56)</w:t>
            </w:r>
          </w:p>
        </w:tc>
        <w:tc>
          <w:tcPr>
            <w:tcW w:w="417"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6,220</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691090" w:rsidRDefault="00691090" w:rsidP="00691090">
            <w:pPr>
              <w:ind w:hanging="95"/>
              <w:jc w:val="right"/>
              <w:rPr>
                <w:color w:val="auto"/>
                <w:sz w:val="12"/>
                <w:szCs w:val="16"/>
              </w:rPr>
            </w:pPr>
            <w:r>
              <w:rPr>
                <w:sz w:val="14"/>
                <w:szCs w:val="14"/>
              </w:rPr>
              <w:t>Source: Statistics &amp; Data Warehouse Department SBP</w:t>
            </w:r>
          </w:p>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X="-72" w:tblpY="901"/>
        <w:tblW w:w="9720" w:type="dxa"/>
        <w:tblLayout w:type="fixed"/>
        <w:tblLook w:val="0000"/>
      </w:tblPr>
      <w:tblGrid>
        <w:gridCol w:w="4068"/>
        <w:gridCol w:w="1170"/>
        <w:gridCol w:w="900"/>
        <w:gridCol w:w="900"/>
        <w:gridCol w:w="990"/>
        <w:gridCol w:w="900"/>
        <w:gridCol w:w="792"/>
      </w:tblGrid>
      <w:tr w:rsidR="007E2F90" w:rsidRPr="00D5469A" w:rsidTr="00462E46">
        <w:trPr>
          <w:trHeight w:val="432"/>
        </w:trPr>
        <w:tc>
          <w:tcPr>
            <w:tcW w:w="9720" w:type="dxa"/>
            <w:gridSpan w:val="7"/>
            <w:shd w:val="clear" w:color="auto" w:fill="auto"/>
            <w:noWrap/>
            <w:vAlign w:val="bottom"/>
          </w:tcPr>
          <w:p w:rsidR="007E2F90" w:rsidRPr="00D5469A" w:rsidRDefault="007F7163" w:rsidP="00462E46">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462E46">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462E46">
            <w:pPr>
              <w:jc w:val="right"/>
              <w:rPr>
                <w:color w:val="auto"/>
                <w:szCs w:val="16"/>
              </w:rPr>
            </w:pPr>
            <w:r w:rsidRPr="00D5469A">
              <w:rPr>
                <w:color w:val="auto"/>
                <w:szCs w:val="16"/>
              </w:rPr>
              <w:t>(Million Rupees)</w:t>
            </w:r>
          </w:p>
        </w:tc>
      </w:tr>
      <w:tr w:rsidR="00462E46" w:rsidRPr="00D5469A" w:rsidTr="00462E46">
        <w:trPr>
          <w:trHeight w:val="240"/>
        </w:trPr>
        <w:tc>
          <w:tcPr>
            <w:tcW w:w="4068" w:type="dxa"/>
            <w:tcBorders>
              <w:bottom w:val="single" w:sz="12" w:space="0" w:color="auto"/>
              <w:right w:val="single" w:sz="4" w:space="0" w:color="auto"/>
            </w:tcBorders>
            <w:shd w:val="clear" w:color="auto" w:fill="auto"/>
            <w:noWrap/>
            <w:vAlign w:val="center"/>
          </w:tcPr>
          <w:p w:rsidR="00462E46" w:rsidRPr="00D5469A" w:rsidRDefault="00462E46" w:rsidP="00462E4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Sep-16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Mar-17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62E46" w:rsidRPr="00D5469A" w:rsidRDefault="00462E46" w:rsidP="00462E46">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Sep-17</w:t>
            </w:r>
          </w:p>
        </w:tc>
        <w:tc>
          <w:tcPr>
            <w:tcW w:w="792" w:type="dxa"/>
            <w:tcBorders>
              <w:top w:val="single" w:sz="8" w:space="0" w:color="auto"/>
              <w:left w:val="single" w:sz="4" w:space="0" w:color="auto"/>
              <w:bottom w:val="single" w:sz="12"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Dec-17</w:t>
            </w:r>
          </w:p>
        </w:tc>
      </w:tr>
      <w:tr w:rsidR="00462E46" w:rsidRPr="00D5469A" w:rsidTr="00462E46">
        <w:trPr>
          <w:trHeight w:hRule="exact" w:val="259"/>
        </w:trPr>
        <w:tc>
          <w:tcPr>
            <w:tcW w:w="4068" w:type="dxa"/>
            <w:tcBorders>
              <w:top w:val="single" w:sz="12" w:space="0" w:color="auto"/>
            </w:tcBorders>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79,902</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73,336</w:t>
            </w:r>
          </w:p>
        </w:tc>
        <w:tc>
          <w:tcPr>
            <w:tcW w:w="99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77,717</w:t>
            </w:r>
          </w:p>
        </w:tc>
        <w:tc>
          <w:tcPr>
            <w:tcW w:w="792"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81,425</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462E46" w:rsidRDefault="00462E46" w:rsidP="00462E46">
            <w:pPr>
              <w:jc w:val="right"/>
              <w:rPr>
                <w:sz w:val="14"/>
                <w:szCs w:val="14"/>
              </w:rPr>
            </w:pPr>
            <w:r>
              <w:rPr>
                <w:sz w:val="14"/>
                <w:szCs w:val="14"/>
              </w:rPr>
              <w:t>40,598</w:t>
            </w:r>
          </w:p>
        </w:tc>
        <w:tc>
          <w:tcPr>
            <w:tcW w:w="900" w:type="dxa"/>
            <w:shd w:val="clear" w:color="auto" w:fill="auto"/>
            <w:noWrap/>
            <w:vAlign w:val="center"/>
          </w:tcPr>
          <w:p w:rsidR="00462E46" w:rsidRDefault="00462E46" w:rsidP="00462E46">
            <w:pPr>
              <w:jc w:val="right"/>
              <w:rPr>
                <w:sz w:val="14"/>
                <w:szCs w:val="14"/>
              </w:rPr>
            </w:pPr>
            <w:r>
              <w:rPr>
                <w:sz w:val="14"/>
                <w:szCs w:val="14"/>
              </w:rPr>
              <w:t>49,515</w:t>
            </w:r>
          </w:p>
        </w:tc>
        <w:tc>
          <w:tcPr>
            <w:tcW w:w="900" w:type="dxa"/>
            <w:shd w:val="clear" w:color="auto" w:fill="auto"/>
            <w:noWrap/>
            <w:vAlign w:val="center"/>
          </w:tcPr>
          <w:p w:rsidR="00462E46" w:rsidRDefault="00462E46" w:rsidP="00462E46">
            <w:pPr>
              <w:jc w:val="right"/>
              <w:rPr>
                <w:sz w:val="14"/>
                <w:szCs w:val="14"/>
              </w:rPr>
            </w:pPr>
            <w:r>
              <w:rPr>
                <w:sz w:val="14"/>
                <w:szCs w:val="14"/>
              </w:rPr>
              <w:t>43,052</w:t>
            </w:r>
          </w:p>
        </w:tc>
        <w:tc>
          <w:tcPr>
            <w:tcW w:w="990" w:type="dxa"/>
            <w:shd w:val="clear" w:color="auto" w:fill="auto"/>
            <w:noWrap/>
            <w:vAlign w:val="center"/>
          </w:tcPr>
          <w:p w:rsidR="00462E46" w:rsidRDefault="00462E46" w:rsidP="00462E46">
            <w:pPr>
              <w:jc w:val="right"/>
              <w:rPr>
                <w:sz w:val="14"/>
                <w:szCs w:val="14"/>
              </w:rPr>
            </w:pPr>
            <w:r>
              <w:rPr>
                <w:sz w:val="14"/>
                <w:szCs w:val="14"/>
              </w:rPr>
              <w:t>24,909</w:t>
            </w:r>
          </w:p>
        </w:tc>
        <w:tc>
          <w:tcPr>
            <w:tcW w:w="900" w:type="dxa"/>
            <w:shd w:val="clear" w:color="auto" w:fill="auto"/>
            <w:noWrap/>
            <w:vAlign w:val="center"/>
          </w:tcPr>
          <w:p w:rsidR="00462E46" w:rsidRDefault="00462E46" w:rsidP="00462E46">
            <w:pPr>
              <w:jc w:val="right"/>
              <w:rPr>
                <w:sz w:val="14"/>
                <w:szCs w:val="14"/>
              </w:rPr>
            </w:pPr>
            <w:r>
              <w:rPr>
                <w:sz w:val="14"/>
                <w:szCs w:val="14"/>
              </w:rPr>
              <w:t>25,543</w:t>
            </w:r>
          </w:p>
        </w:tc>
        <w:tc>
          <w:tcPr>
            <w:tcW w:w="792" w:type="dxa"/>
            <w:shd w:val="clear" w:color="auto" w:fill="auto"/>
            <w:noWrap/>
            <w:vAlign w:val="center"/>
          </w:tcPr>
          <w:p w:rsidR="00462E46" w:rsidRDefault="00462E46" w:rsidP="00462E46">
            <w:pPr>
              <w:jc w:val="right"/>
              <w:rPr>
                <w:sz w:val="14"/>
                <w:szCs w:val="14"/>
              </w:rPr>
            </w:pPr>
            <w:r>
              <w:rPr>
                <w:sz w:val="14"/>
                <w:szCs w:val="14"/>
              </w:rPr>
              <w:t>23,707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62E46" w:rsidRDefault="00462E46" w:rsidP="00462E46">
            <w:pPr>
              <w:jc w:val="right"/>
              <w:rPr>
                <w:sz w:val="14"/>
                <w:szCs w:val="14"/>
              </w:rPr>
            </w:pPr>
            <w:r>
              <w:rPr>
                <w:sz w:val="14"/>
                <w:szCs w:val="14"/>
              </w:rPr>
              <w:t>39,304</w:t>
            </w:r>
          </w:p>
        </w:tc>
        <w:tc>
          <w:tcPr>
            <w:tcW w:w="900" w:type="dxa"/>
            <w:shd w:val="clear" w:color="auto" w:fill="auto"/>
            <w:noWrap/>
            <w:vAlign w:val="center"/>
          </w:tcPr>
          <w:p w:rsidR="00462E46" w:rsidRDefault="00462E46" w:rsidP="00462E46">
            <w:pPr>
              <w:jc w:val="right"/>
              <w:rPr>
                <w:sz w:val="14"/>
                <w:szCs w:val="14"/>
              </w:rPr>
            </w:pPr>
            <w:r>
              <w:rPr>
                <w:sz w:val="14"/>
                <w:szCs w:val="14"/>
              </w:rPr>
              <w:t>33,367</w:t>
            </w:r>
          </w:p>
        </w:tc>
        <w:tc>
          <w:tcPr>
            <w:tcW w:w="900" w:type="dxa"/>
            <w:shd w:val="clear" w:color="auto" w:fill="auto"/>
            <w:noWrap/>
            <w:vAlign w:val="center"/>
          </w:tcPr>
          <w:p w:rsidR="00462E46" w:rsidRDefault="00462E46" w:rsidP="00462E46">
            <w:pPr>
              <w:jc w:val="right"/>
              <w:rPr>
                <w:sz w:val="14"/>
                <w:szCs w:val="14"/>
              </w:rPr>
            </w:pPr>
            <w:r>
              <w:rPr>
                <w:sz w:val="14"/>
                <w:szCs w:val="14"/>
              </w:rPr>
              <w:t>30,284</w:t>
            </w:r>
          </w:p>
        </w:tc>
        <w:tc>
          <w:tcPr>
            <w:tcW w:w="990" w:type="dxa"/>
            <w:shd w:val="clear" w:color="auto" w:fill="auto"/>
            <w:noWrap/>
            <w:vAlign w:val="center"/>
          </w:tcPr>
          <w:p w:rsidR="00462E46" w:rsidRDefault="00462E46" w:rsidP="00462E46">
            <w:pPr>
              <w:jc w:val="right"/>
              <w:rPr>
                <w:sz w:val="14"/>
                <w:szCs w:val="14"/>
              </w:rPr>
            </w:pPr>
            <w:r>
              <w:rPr>
                <w:sz w:val="14"/>
                <w:szCs w:val="14"/>
              </w:rPr>
              <w:t>45,658</w:t>
            </w:r>
          </w:p>
        </w:tc>
        <w:tc>
          <w:tcPr>
            <w:tcW w:w="900" w:type="dxa"/>
            <w:shd w:val="clear" w:color="auto" w:fill="auto"/>
            <w:noWrap/>
            <w:vAlign w:val="center"/>
          </w:tcPr>
          <w:p w:rsidR="00462E46" w:rsidRDefault="00462E46" w:rsidP="00462E46">
            <w:pPr>
              <w:jc w:val="right"/>
              <w:rPr>
                <w:sz w:val="14"/>
                <w:szCs w:val="14"/>
              </w:rPr>
            </w:pPr>
            <w:r>
              <w:rPr>
                <w:sz w:val="14"/>
                <w:szCs w:val="14"/>
              </w:rPr>
              <w:t>52,174</w:t>
            </w:r>
          </w:p>
        </w:tc>
        <w:tc>
          <w:tcPr>
            <w:tcW w:w="792" w:type="dxa"/>
            <w:shd w:val="clear" w:color="auto" w:fill="auto"/>
            <w:noWrap/>
            <w:vAlign w:val="center"/>
          </w:tcPr>
          <w:p w:rsidR="00462E46" w:rsidRDefault="00462E46" w:rsidP="00462E46">
            <w:pPr>
              <w:jc w:val="right"/>
              <w:rPr>
                <w:sz w:val="14"/>
                <w:szCs w:val="14"/>
              </w:rPr>
            </w:pPr>
            <w:r>
              <w:rPr>
                <w:sz w:val="14"/>
                <w:szCs w:val="14"/>
              </w:rPr>
              <w:t>57,718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8,841</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7,577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11,940</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18,955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20,590</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23,769</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462E46" w:rsidRDefault="00462E46" w:rsidP="00462E46">
            <w:pPr>
              <w:jc w:val="right"/>
              <w:rPr>
                <w:sz w:val="14"/>
                <w:szCs w:val="14"/>
              </w:rPr>
            </w:pPr>
            <w:r>
              <w:rPr>
                <w:sz w:val="14"/>
                <w:szCs w:val="14"/>
              </w:rPr>
              <w:t>3,682</w:t>
            </w:r>
          </w:p>
        </w:tc>
        <w:tc>
          <w:tcPr>
            <w:tcW w:w="900" w:type="dxa"/>
            <w:shd w:val="clear" w:color="auto" w:fill="auto"/>
            <w:noWrap/>
            <w:vAlign w:val="center"/>
          </w:tcPr>
          <w:p w:rsidR="00462E46" w:rsidRDefault="00462E46" w:rsidP="00462E46">
            <w:pPr>
              <w:jc w:val="right"/>
              <w:rPr>
                <w:sz w:val="14"/>
                <w:szCs w:val="14"/>
              </w:rPr>
            </w:pPr>
            <w:r>
              <w:rPr>
                <w:sz w:val="14"/>
                <w:szCs w:val="14"/>
              </w:rPr>
              <w:t>3,231</w:t>
            </w:r>
          </w:p>
        </w:tc>
        <w:tc>
          <w:tcPr>
            <w:tcW w:w="900" w:type="dxa"/>
            <w:shd w:val="clear" w:color="auto" w:fill="auto"/>
            <w:noWrap/>
            <w:vAlign w:val="center"/>
          </w:tcPr>
          <w:p w:rsidR="00462E46" w:rsidRDefault="00462E46" w:rsidP="00462E46">
            <w:pPr>
              <w:jc w:val="right"/>
              <w:rPr>
                <w:sz w:val="14"/>
                <w:szCs w:val="14"/>
              </w:rPr>
            </w:pPr>
            <w:r>
              <w:rPr>
                <w:sz w:val="14"/>
                <w:szCs w:val="14"/>
              </w:rPr>
              <w:t>5,516</w:t>
            </w:r>
          </w:p>
        </w:tc>
        <w:tc>
          <w:tcPr>
            <w:tcW w:w="990" w:type="dxa"/>
            <w:shd w:val="clear" w:color="auto" w:fill="auto"/>
            <w:noWrap/>
            <w:vAlign w:val="center"/>
          </w:tcPr>
          <w:p w:rsidR="00462E46" w:rsidRDefault="00462E46" w:rsidP="00462E46">
            <w:pPr>
              <w:jc w:val="right"/>
              <w:rPr>
                <w:sz w:val="14"/>
                <w:szCs w:val="14"/>
              </w:rPr>
            </w:pPr>
            <w:r>
              <w:rPr>
                <w:sz w:val="14"/>
                <w:szCs w:val="14"/>
              </w:rPr>
              <w:t>3,858</w:t>
            </w:r>
          </w:p>
        </w:tc>
        <w:tc>
          <w:tcPr>
            <w:tcW w:w="900" w:type="dxa"/>
            <w:shd w:val="clear" w:color="auto" w:fill="auto"/>
            <w:noWrap/>
            <w:vAlign w:val="center"/>
          </w:tcPr>
          <w:p w:rsidR="00462E46" w:rsidRDefault="00462E46" w:rsidP="00462E46">
            <w:pPr>
              <w:jc w:val="right"/>
              <w:rPr>
                <w:sz w:val="14"/>
                <w:szCs w:val="14"/>
              </w:rPr>
            </w:pPr>
            <w:r>
              <w:rPr>
                <w:sz w:val="14"/>
                <w:szCs w:val="14"/>
              </w:rPr>
              <w:t>2,464</w:t>
            </w:r>
          </w:p>
        </w:tc>
        <w:tc>
          <w:tcPr>
            <w:tcW w:w="792" w:type="dxa"/>
            <w:shd w:val="clear" w:color="auto" w:fill="auto"/>
            <w:noWrap/>
            <w:vAlign w:val="center"/>
          </w:tcPr>
          <w:p w:rsidR="00462E46" w:rsidRDefault="00462E46" w:rsidP="00462E46">
            <w:pPr>
              <w:jc w:val="right"/>
              <w:rPr>
                <w:sz w:val="14"/>
                <w:szCs w:val="14"/>
              </w:rPr>
            </w:pPr>
            <w:r>
              <w:rPr>
                <w:sz w:val="14"/>
                <w:szCs w:val="14"/>
              </w:rPr>
              <w:t>2,788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62E46" w:rsidRDefault="00462E46" w:rsidP="00462E46">
            <w:pPr>
              <w:jc w:val="right"/>
              <w:rPr>
                <w:sz w:val="14"/>
                <w:szCs w:val="14"/>
              </w:rPr>
            </w:pPr>
            <w:r>
              <w:rPr>
                <w:sz w:val="14"/>
                <w:szCs w:val="14"/>
              </w:rPr>
              <w:t>1,578</w:t>
            </w:r>
          </w:p>
        </w:tc>
        <w:tc>
          <w:tcPr>
            <w:tcW w:w="900" w:type="dxa"/>
            <w:shd w:val="clear" w:color="auto" w:fill="auto"/>
            <w:noWrap/>
            <w:vAlign w:val="center"/>
          </w:tcPr>
          <w:p w:rsidR="00462E46" w:rsidRDefault="00462E46" w:rsidP="00462E46">
            <w:pPr>
              <w:jc w:val="right"/>
              <w:rPr>
                <w:sz w:val="14"/>
                <w:szCs w:val="14"/>
              </w:rPr>
            </w:pPr>
            <w:r>
              <w:rPr>
                <w:sz w:val="14"/>
                <w:szCs w:val="14"/>
              </w:rPr>
              <w:t>45</w:t>
            </w:r>
          </w:p>
        </w:tc>
        <w:tc>
          <w:tcPr>
            <w:tcW w:w="900" w:type="dxa"/>
            <w:shd w:val="clear" w:color="auto" w:fill="auto"/>
            <w:noWrap/>
            <w:vAlign w:val="center"/>
          </w:tcPr>
          <w:p w:rsidR="00462E46" w:rsidRDefault="00462E46" w:rsidP="00462E46">
            <w:pPr>
              <w:jc w:val="right"/>
              <w:rPr>
                <w:sz w:val="14"/>
                <w:szCs w:val="14"/>
              </w:rPr>
            </w:pPr>
            <w:r>
              <w:rPr>
                <w:sz w:val="14"/>
                <w:szCs w:val="14"/>
              </w:rPr>
              <w:t>2,676</w:t>
            </w:r>
          </w:p>
        </w:tc>
        <w:tc>
          <w:tcPr>
            <w:tcW w:w="990" w:type="dxa"/>
            <w:shd w:val="clear" w:color="auto" w:fill="auto"/>
            <w:noWrap/>
            <w:vAlign w:val="center"/>
          </w:tcPr>
          <w:p w:rsidR="00462E46" w:rsidRDefault="00462E46" w:rsidP="00462E46">
            <w:pPr>
              <w:jc w:val="right"/>
              <w:rPr>
                <w:sz w:val="14"/>
                <w:szCs w:val="14"/>
              </w:rPr>
            </w:pPr>
            <w:r>
              <w:rPr>
                <w:sz w:val="14"/>
                <w:szCs w:val="14"/>
              </w:rPr>
              <w:t>8,839</w:t>
            </w:r>
          </w:p>
        </w:tc>
        <w:tc>
          <w:tcPr>
            <w:tcW w:w="900" w:type="dxa"/>
            <w:shd w:val="clear" w:color="auto" w:fill="auto"/>
            <w:noWrap/>
            <w:vAlign w:val="center"/>
          </w:tcPr>
          <w:p w:rsidR="00462E46" w:rsidRDefault="00462E46" w:rsidP="00462E46">
            <w:pPr>
              <w:jc w:val="right"/>
              <w:rPr>
                <w:sz w:val="14"/>
                <w:szCs w:val="14"/>
              </w:rPr>
            </w:pPr>
            <w:r>
              <w:rPr>
                <w:sz w:val="14"/>
                <w:szCs w:val="14"/>
              </w:rPr>
              <w:t>11,369</w:t>
            </w:r>
          </w:p>
        </w:tc>
        <w:tc>
          <w:tcPr>
            <w:tcW w:w="792" w:type="dxa"/>
            <w:shd w:val="clear" w:color="auto" w:fill="auto"/>
            <w:noWrap/>
            <w:vAlign w:val="center"/>
          </w:tcPr>
          <w:p w:rsidR="00462E46" w:rsidRDefault="00462E46" w:rsidP="00462E46">
            <w:pPr>
              <w:jc w:val="right"/>
              <w:rPr>
                <w:sz w:val="14"/>
                <w:szCs w:val="14"/>
              </w:rPr>
            </w:pPr>
            <w:r>
              <w:rPr>
                <w:sz w:val="14"/>
                <w:szCs w:val="14"/>
              </w:rPr>
              <w:t>13,320</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62E46" w:rsidRDefault="00462E46" w:rsidP="00462E46">
            <w:pPr>
              <w:jc w:val="right"/>
              <w:rPr>
                <w:sz w:val="14"/>
                <w:szCs w:val="14"/>
              </w:rPr>
            </w:pPr>
            <w:r>
              <w:rPr>
                <w:sz w:val="14"/>
                <w:szCs w:val="14"/>
              </w:rPr>
              <w:t>763</w:t>
            </w:r>
          </w:p>
        </w:tc>
        <w:tc>
          <w:tcPr>
            <w:tcW w:w="900" w:type="dxa"/>
            <w:shd w:val="clear" w:color="auto" w:fill="auto"/>
            <w:noWrap/>
            <w:vAlign w:val="center"/>
          </w:tcPr>
          <w:p w:rsidR="00462E46" w:rsidRDefault="00462E46" w:rsidP="00462E46">
            <w:pPr>
              <w:jc w:val="right"/>
              <w:rPr>
                <w:sz w:val="14"/>
                <w:szCs w:val="14"/>
              </w:rPr>
            </w:pPr>
            <w:r>
              <w:rPr>
                <w:sz w:val="14"/>
                <w:szCs w:val="14"/>
              </w:rPr>
              <w:t>77</w:t>
            </w:r>
          </w:p>
        </w:tc>
        <w:tc>
          <w:tcPr>
            <w:tcW w:w="900" w:type="dxa"/>
            <w:shd w:val="clear" w:color="auto" w:fill="auto"/>
            <w:noWrap/>
            <w:vAlign w:val="center"/>
          </w:tcPr>
          <w:p w:rsidR="00462E46" w:rsidRDefault="00462E46" w:rsidP="00462E46">
            <w:pPr>
              <w:jc w:val="right"/>
              <w:rPr>
                <w:sz w:val="14"/>
                <w:szCs w:val="14"/>
              </w:rPr>
            </w:pPr>
            <w:r>
              <w:rPr>
                <w:sz w:val="14"/>
                <w:szCs w:val="14"/>
              </w:rPr>
              <w:t>331</w:t>
            </w:r>
          </w:p>
        </w:tc>
        <w:tc>
          <w:tcPr>
            <w:tcW w:w="990" w:type="dxa"/>
            <w:shd w:val="clear" w:color="auto" w:fill="auto"/>
            <w:noWrap/>
            <w:vAlign w:val="center"/>
          </w:tcPr>
          <w:p w:rsidR="00462E46" w:rsidRDefault="00462E46" w:rsidP="00462E46">
            <w:pPr>
              <w:jc w:val="right"/>
              <w:rPr>
                <w:sz w:val="14"/>
                <w:szCs w:val="14"/>
              </w:rPr>
            </w:pPr>
            <w:r>
              <w:rPr>
                <w:sz w:val="14"/>
                <w:szCs w:val="14"/>
              </w:rPr>
              <w:t>3,133</w:t>
            </w:r>
          </w:p>
        </w:tc>
        <w:tc>
          <w:tcPr>
            <w:tcW w:w="900" w:type="dxa"/>
            <w:shd w:val="clear" w:color="auto" w:fill="auto"/>
            <w:noWrap/>
            <w:vAlign w:val="center"/>
          </w:tcPr>
          <w:p w:rsidR="00462E46" w:rsidRDefault="00462E46" w:rsidP="00462E46">
            <w:pPr>
              <w:jc w:val="right"/>
              <w:rPr>
                <w:sz w:val="14"/>
                <w:szCs w:val="14"/>
              </w:rPr>
            </w:pPr>
            <w:r>
              <w:rPr>
                <w:sz w:val="14"/>
                <w:szCs w:val="14"/>
              </w:rPr>
              <w:t>2,954</w:t>
            </w:r>
          </w:p>
        </w:tc>
        <w:tc>
          <w:tcPr>
            <w:tcW w:w="792" w:type="dxa"/>
            <w:shd w:val="clear" w:color="auto" w:fill="auto"/>
            <w:noWrap/>
            <w:vAlign w:val="center"/>
          </w:tcPr>
          <w:p w:rsidR="00462E46" w:rsidRDefault="00462E46" w:rsidP="00462E46">
            <w:pPr>
              <w:jc w:val="right"/>
              <w:rPr>
                <w:sz w:val="14"/>
                <w:szCs w:val="14"/>
              </w:rPr>
            </w:pPr>
            <w:r>
              <w:rPr>
                <w:sz w:val="14"/>
                <w:szCs w:val="14"/>
              </w:rPr>
              <w:t>3,818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62E46" w:rsidRDefault="00462E46" w:rsidP="00462E46">
            <w:pPr>
              <w:jc w:val="right"/>
              <w:rPr>
                <w:sz w:val="14"/>
                <w:szCs w:val="14"/>
              </w:rPr>
            </w:pPr>
            <w:r>
              <w:rPr>
                <w:sz w:val="14"/>
                <w:szCs w:val="14"/>
              </w:rPr>
              <w:t>1,770</w:t>
            </w:r>
          </w:p>
        </w:tc>
        <w:tc>
          <w:tcPr>
            <w:tcW w:w="900" w:type="dxa"/>
            <w:shd w:val="clear" w:color="auto" w:fill="auto"/>
            <w:noWrap/>
            <w:vAlign w:val="center"/>
          </w:tcPr>
          <w:p w:rsidR="00462E46" w:rsidRDefault="00462E46" w:rsidP="00462E46">
            <w:pPr>
              <w:jc w:val="right"/>
              <w:rPr>
                <w:sz w:val="14"/>
                <w:szCs w:val="14"/>
              </w:rPr>
            </w:pPr>
            <w:r>
              <w:rPr>
                <w:sz w:val="14"/>
                <w:szCs w:val="14"/>
              </w:rPr>
              <w:t>3,726</w:t>
            </w:r>
          </w:p>
        </w:tc>
        <w:tc>
          <w:tcPr>
            <w:tcW w:w="900" w:type="dxa"/>
            <w:shd w:val="clear" w:color="auto" w:fill="auto"/>
            <w:noWrap/>
            <w:vAlign w:val="center"/>
          </w:tcPr>
          <w:p w:rsidR="00462E46" w:rsidRDefault="00462E46" w:rsidP="00462E46">
            <w:pPr>
              <w:jc w:val="right"/>
              <w:rPr>
                <w:sz w:val="14"/>
                <w:szCs w:val="14"/>
              </w:rPr>
            </w:pPr>
            <w:r>
              <w:rPr>
                <w:sz w:val="14"/>
                <w:szCs w:val="14"/>
              </w:rPr>
              <w:t>766</w:t>
            </w:r>
          </w:p>
        </w:tc>
        <w:tc>
          <w:tcPr>
            <w:tcW w:w="990" w:type="dxa"/>
            <w:shd w:val="clear" w:color="auto" w:fill="auto"/>
            <w:noWrap/>
            <w:vAlign w:val="center"/>
          </w:tcPr>
          <w:p w:rsidR="00462E46" w:rsidRDefault="00462E46" w:rsidP="00462E46">
            <w:pPr>
              <w:jc w:val="right"/>
              <w:rPr>
                <w:sz w:val="14"/>
                <w:szCs w:val="14"/>
              </w:rPr>
            </w:pPr>
            <w:r>
              <w:rPr>
                <w:sz w:val="14"/>
                <w:szCs w:val="14"/>
              </w:rPr>
              <w:t>24</w:t>
            </w:r>
          </w:p>
        </w:tc>
        <w:tc>
          <w:tcPr>
            <w:tcW w:w="900" w:type="dxa"/>
            <w:shd w:val="clear" w:color="auto" w:fill="auto"/>
            <w:noWrap/>
            <w:vAlign w:val="center"/>
          </w:tcPr>
          <w:p w:rsidR="00462E46" w:rsidRDefault="00462E46" w:rsidP="00462E46">
            <w:pPr>
              <w:jc w:val="right"/>
              <w:rPr>
                <w:sz w:val="14"/>
                <w:szCs w:val="14"/>
              </w:rPr>
            </w:pPr>
            <w:r>
              <w:rPr>
                <w:sz w:val="14"/>
                <w:szCs w:val="14"/>
              </w:rPr>
              <w:t>25</w:t>
            </w:r>
          </w:p>
        </w:tc>
        <w:tc>
          <w:tcPr>
            <w:tcW w:w="792" w:type="dxa"/>
            <w:shd w:val="clear" w:color="auto" w:fill="auto"/>
            <w:noWrap/>
            <w:vAlign w:val="center"/>
          </w:tcPr>
          <w:p w:rsidR="00462E46" w:rsidRDefault="00462E46" w:rsidP="00462E46">
            <w:pPr>
              <w:jc w:val="right"/>
              <w:rPr>
                <w:sz w:val="14"/>
                <w:szCs w:val="14"/>
              </w:rPr>
            </w:pPr>
            <w:r>
              <w:rPr>
                <w:sz w:val="14"/>
                <w:szCs w:val="14"/>
              </w:rPr>
              <w:t>43</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62E46" w:rsidRDefault="00462E46" w:rsidP="00462E46">
            <w:pPr>
              <w:jc w:val="right"/>
              <w:rPr>
                <w:sz w:val="14"/>
                <w:szCs w:val="14"/>
              </w:rPr>
            </w:pPr>
            <w:r>
              <w:rPr>
                <w:sz w:val="14"/>
                <w:szCs w:val="14"/>
              </w:rPr>
              <w:t>1,049</w:t>
            </w:r>
          </w:p>
        </w:tc>
        <w:tc>
          <w:tcPr>
            <w:tcW w:w="900" w:type="dxa"/>
            <w:shd w:val="clear" w:color="auto" w:fill="auto"/>
            <w:noWrap/>
            <w:vAlign w:val="center"/>
          </w:tcPr>
          <w:p w:rsidR="00462E46" w:rsidRDefault="00462E46" w:rsidP="00462E46">
            <w:pPr>
              <w:jc w:val="right"/>
              <w:rPr>
                <w:sz w:val="14"/>
                <w:szCs w:val="14"/>
              </w:rPr>
            </w:pPr>
            <w:r>
              <w:rPr>
                <w:sz w:val="14"/>
                <w:szCs w:val="14"/>
              </w:rPr>
              <w:t>498</w:t>
            </w:r>
          </w:p>
        </w:tc>
        <w:tc>
          <w:tcPr>
            <w:tcW w:w="900" w:type="dxa"/>
            <w:shd w:val="clear" w:color="auto" w:fill="auto"/>
            <w:noWrap/>
            <w:vAlign w:val="center"/>
          </w:tcPr>
          <w:p w:rsidR="00462E46" w:rsidRDefault="00462E46" w:rsidP="00462E46">
            <w:pPr>
              <w:jc w:val="right"/>
              <w:rPr>
                <w:sz w:val="14"/>
                <w:szCs w:val="14"/>
              </w:rPr>
            </w:pPr>
            <w:r>
              <w:rPr>
                <w:sz w:val="14"/>
                <w:szCs w:val="14"/>
              </w:rPr>
              <w:t>2,651</w:t>
            </w:r>
          </w:p>
        </w:tc>
        <w:tc>
          <w:tcPr>
            <w:tcW w:w="990" w:type="dxa"/>
            <w:shd w:val="clear" w:color="auto" w:fill="auto"/>
            <w:noWrap/>
            <w:vAlign w:val="center"/>
          </w:tcPr>
          <w:p w:rsidR="00462E46" w:rsidRDefault="00462E46" w:rsidP="00462E46">
            <w:pPr>
              <w:jc w:val="right"/>
              <w:rPr>
                <w:sz w:val="14"/>
                <w:szCs w:val="14"/>
              </w:rPr>
            </w:pPr>
            <w:r>
              <w:rPr>
                <w:sz w:val="14"/>
                <w:szCs w:val="14"/>
              </w:rPr>
              <w:t>3,100</w:t>
            </w:r>
          </w:p>
        </w:tc>
        <w:tc>
          <w:tcPr>
            <w:tcW w:w="900" w:type="dxa"/>
            <w:shd w:val="clear" w:color="auto" w:fill="auto"/>
            <w:noWrap/>
            <w:vAlign w:val="center"/>
          </w:tcPr>
          <w:p w:rsidR="00462E46" w:rsidRPr="00506EDF" w:rsidRDefault="00462E46" w:rsidP="00462E46">
            <w:pPr>
              <w:jc w:val="right"/>
              <w:rPr>
                <w:sz w:val="14"/>
                <w:szCs w:val="14"/>
              </w:rPr>
            </w:pPr>
            <w:r w:rsidRPr="00506EDF">
              <w:rPr>
                <w:sz w:val="14"/>
                <w:szCs w:val="14"/>
              </w:rPr>
              <w:t>3,779</w:t>
            </w:r>
          </w:p>
        </w:tc>
        <w:tc>
          <w:tcPr>
            <w:tcW w:w="792" w:type="dxa"/>
            <w:shd w:val="clear" w:color="auto" w:fill="auto"/>
            <w:noWrap/>
            <w:vAlign w:val="center"/>
          </w:tcPr>
          <w:p w:rsidR="00462E46" w:rsidRDefault="00462E46" w:rsidP="00462E46">
            <w:pPr>
              <w:jc w:val="right"/>
              <w:rPr>
                <w:sz w:val="14"/>
                <w:szCs w:val="14"/>
              </w:rPr>
            </w:pPr>
            <w:r>
              <w:rPr>
                <w:sz w:val="14"/>
                <w:szCs w:val="14"/>
              </w:rPr>
              <w:t>3,800</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827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824</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827</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675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773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627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1,479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1,429</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1,527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445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192</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877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893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855</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59,239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71,717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70,458</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93,149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102,056</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121,125</w:t>
            </w:r>
          </w:p>
        </w:tc>
      </w:tr>
      <w:tr w:rsidR="00462E46" w:rsidRPr="00D5469A" w:rsidTr="00462E46">
        <w:trPr>
          <w:trHeight w:hRule="exact" w:val="288"/>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2,420</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2,627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2,805</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4,963</w:t>
            </w:r>
          </w:p>
        </w:tc>
        <w:tc>
          <w:tcPr>
            <w:tcW w:w="900" w:type="dxa"/>
            <w:shd w:val="clear" w:color="auto" w:fill="auto"/>
            <w:noWrap/>
            <w:vAlign w:val="center"/>
          </w:tcPr>
          <w:p w:rsidR="00462E46" w:rsidRDefault="00BE4A58" w:rsidP="00462E46">
            <w:pPr>
              <w:jc w:val="right"/>
              <w:rPr>
                <w:b/>
                <w:bCs/>
                <w:sz w:val="14"/>
                <w:szCs w:val="14"/>
              </w:rPr>
            </w:pPr>
            <w:r>
              <w:rPr>
                <w:b/>
                <w:bCs/>
                <w:sz w:val="14"/>
                <w:szCs w:val="14"/>
              </w:rPr>
              <w:t>5,653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6,743</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4068" w:type="dxa"/>
            <w:tcBorders>
              <w:bottom w:val="single" w:sz="12" w:space="0" w:color="auto"/>
            </w:tcBorders>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792" w:type="dxa"/>
            <w:tcBorders>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w:t>
            </w:r>
          </w:p>
        </w:tc>
      </w:tr>
      <w:tr w:rsidR="00462E46" w:rsidRPr="00D5469A" w:rsidTr="00462E46">
        <w:trPr>
          <w:trHeight w:hRule="exact" w:val="259"/>
        </w:trPr>
        <w:tc>
          <w:tcPr>
            <w:tcW w:w="4068" w:type="dxa"/>
            <w:tcBorders>
              <w:top w:val="single" w:sz="12" w:space="0" w:color="auto"/>
              <w:bottom w:val="single" w:sz="12" w:space="0" w:color="auto"/>
            </w:tcBorders>
            <w:shd w:val="clear" w:color="auto" w:fill="auto"/>
            <w:noWrap/>
            <w:vAlign w:val="center"/>
          </w:tcPr>
          <w:p w:rsidR="00462E46" w:rsidRPr="00D5469A" w:rsidRDefault="00462E46" w:rsidP="00462E4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151,676</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159,558</w:t>
            </w:r>
          </w:p>
        </w:tc>
        <w:tc>
          <w:tcPr>
            <w:tcW w:w="99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209,111</w:t>
            </w:r>
          </w:p>
        </w:tc>
        <w:tc>
          <w:tcPr>
            <w:tcW w:w="792"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236,072</w:t>
            </w:r>
          </w:p>
        </w:tc>
      </w:tr>
      <w:tr w:rsidR="00691090" w:rsidRPr="00D5469A" w:rsidTr="008E70CB">
        <w:trPr>
          <w:trHeight w:val="216"/>
        </w:trPr>
        <w:tc>
          <w:tcPr>
            <w:tcW w:w="9720" w:type="dxa"/>
            <w:gridSpan w:val="7"/>
            <w:tcBorders>
              <w:top w:val="single" w:sz="12" w:space="0" w:color="auto"/>
            </w:tcBorders>
            <w:shd w:val="clear" w:color="auto" w:fill="auto"/>
            <w:noWrap/>
            <w:vAlign w:val="center"/>
          </w:tcPr>
          <w:p w:rsidR="00691090" w:rsidRPr="00D5469A" w:rsidRDefault="00691090" w:rsidP="00462E46">
            <w:pPr>
              <w:jc w:val="right"/>
              <w:rPr>
                <w:b/>
                <w:bCs/>
                <w:color w:val="auto"/>
                <w:szCs w:val="16"/>
              </w:rPr>
            </w:pPr>
            <w:r>
              <w:rPr>
                <w:sz w:val="14"/>
                <w:szCs w:val="14"/>
              </w:rPr>
              <w:t>Source: Statistics &amp; Data Warehouse Department SBP</w:t>
            </w: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62E46" w:rsidP="0040006F">
            <w:pPr>
              <w:rPr>
                <w:b/>
                <w:color w:val="auto"/>
                <w:szCs w:val="16"/>
              </w:rPr>
            </w:pPr>
            <w:r>
              <w:rPr>
                <w:b/>
                <w:color w:val="auto"/>
                <w:szCs w:val="16"/>
              </w:rPr>
              <w:t>Dec</w:t>
            </w:r>
            <w:r w:rsidR="0040006F" w:rsidRPr="00D5469A">
              <w:rPr>
                <w:b/>
                <w:color w:val="auto"/>
                <w:szCs w:val="16"/>
              </w:rPr>
              <w:t>-1</w:t>
            </w:r>
            <w:r w:rsidR="0040006F">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62E46" w:rsidP="0040006F">
            <w:pPr>
              <w:rPr>
                <w:b/>
                <w:color w:val="auto"/>
                <w:szCs w:val="16"/>
              </w:rPr>
            </w:pPr>
            <w:r>
              <w:rPr>
                <w:b/>
                <w:bCs/>
                <w:color w:val="auto"/>
                <w:szCs w:val="22"/>
              </w:rPr>
              <w:t>Dec</w:t>
            </w:r>
            <w:r w:rsidR="00322666">
              <w:rPr>
                <w:b/>
                <w:bCs/>
                <w:color w:val="auto"/>
                <w:szCs w:val="22"/>
              </w:rPr>
              <w:t>-17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91,947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3,941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95,889</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101,421</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5,889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107,310</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1,853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749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2,602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3,311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714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4,026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90,094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3,192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93,287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98,110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5,175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103,284</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12,244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2,759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15,004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11,975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12,702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24,676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11,010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11,012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5,579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6,131</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5,083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5,455</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2,742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2,937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11,777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12,414</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578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676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2D42D6" w:rsidP="00462E4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17,502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12,640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30,142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33,352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11,448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44,800</w:t>
            </w:r>
          </w:p>
        </w:tc>
      </w:tr>
      <w:tr w:rsidR="00462E46" w:rsidRPr="00D5469A" w:rsidTr="00462E46">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w:t>
            </w:r>
          </w:p>
        </w:tc>
      </w:tr>
      <w:tr w:rsidR="00462E46" w:rsidRPr="00D5469A" w:rsidTr="00462E46">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95,107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10,603</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105,710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130,058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12,135</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142,193</w:t>
            </w:r>
          </w:p>
        </w:tc>
      </w:tr>
      <w:tr w:rsidR="00462E46" w:rsidRPr="00D5469A" w:rsidTr="00462E46">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62E46" w:rsidRPr="00D5469A" w:rsidRDefault="00462E46" w:rsidP="00462E46">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216,817</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29,944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246,762</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276,823</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42,185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319,008</w:t>
            </w:r>
          </w:p>
        </w:tc>
      </w:tr>
      <w:tr w:rsidR="00462E46"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91090" w:rsidRDefault="00691090" w:rsidP="00691090">
            <w:pPr>
              <w:jc w:val="right"/>
              <w:rPr>
                <w:color w:val="auto"/>
                <w:sz w:val="12"/>
                <w:szCs w:val="16"/>
              </w:rPr>
            </w:pPr>
            <w:r>
              <w:rPr>
                <w:sz w:val="14"/>
                <w:szCs w:val="14"/>
              </w:rPr>
              <w:t>Source: Statistics &amp; Data Warehouse Department SBP</w:t>
            </w:r>
          </w:p>
          <w:p w:rsidR="00462E46" w:rsidRPr="00D5469A" w:rsidRDefault="00462E46" w:rsidP="00462E46">
            <w:pPr>
              <w:jc w:val="left"/>
              <w:rPr>
                <w:color w:val="auto"/>
                <w:sz w:val="12"/>
                <w:szCs w:val="16"/>
              </w:rPr>
            </w:pPr>
            <w:r w:rsidRPr="00D5469A">
              <w:rPr>
                <w:color w:val="auto"/>
                <w:sz w:val="12"/>
                <w:szCs w:val="16"/>
              </w:rPr>
              <w:t>* This includes Depository NBFCs, DFIs and MFIs.</w:t>
            </w:r>
          </w:p>
          <w:p w:rsidR="00462E46" w:rsidRPr="00D5469A" w:rsidRDefault="00462E46" w:rsidP="00462E46">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6C5EB0" w:rsidP="0040006F">
            <w:pPr>
              <w:rPr>
                <w:b/>
                <w:color w:val="auto"/>
                <w:szCs w:val="16"/>
              </w:rPr>
            </w:pPr>
            <w:r>
              <w:rPr>
                <w:b/>
                <w:color w:val="auto"/>
                <w:szCs w:val="16"/>
              </w:rPr>
              <w:t>Dec</w:t>
            </w:r>
            <w:r w:rsidR="0040006F" w:rsidRPr="00D5469A">
              <w:rPr>
                <w:b/>
                <w:color w:val="auto"/>
                <w:szCs w:val="16"/>
              </w:rPr>
              <w:t>-1</w:t>
            </w:r>
            <w:r w:rsidR="0040006F">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6C5EB0" w:rsidP="0040006F">
            <w:pPr>
              <w:rPr>
                <w:b/>
                <w:color w:val="auto"/>
                <w:szCs w:val="16"/>
              </w:rPr>
            </w:pPr>
            <w:r>
              <w:rPr>
                <w:b/>
                <w:color w:val="auto"/>
                <w:szCs w:val="16"/>
              </w:rPr>
              <w:t>Dec</w:t>
            </w:r>
            <w:r w:rsidR="0040006F">
              <w:rPr>
                <w:b/>
                <w:color w:val="auto"/>
                <w:szCs w:val="16"/>
              </w:rPr>
              <w:t>-17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109,590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83,201</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192,791</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148,800</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81,327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230,127</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7,434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9,684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17,118</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6,959</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17,840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24,799</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213</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2,552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2,765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141</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4,173</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4,314</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7,221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7,132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14,353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6,818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13,666</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20,485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15,874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22,600</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38,474</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26,986</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34,745</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61,731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8,140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5,785</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13,925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16,578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10,777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27,355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2,283</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4,237</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6,520</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9,890</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4,170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14,060</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5,451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12,578</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18,029</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518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19,798</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20,315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86,281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50,106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136,387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114,855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28,731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143,585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6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812</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12</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35,268</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369,656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404,924</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35,527</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358,621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394,147</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11,661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357,596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369,257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11,044</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341,947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352,991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1,616</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279,540</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281,157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1,519</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206,180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207,699</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10,045</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78,055</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88,101</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9,525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135,767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145,292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21,389</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11,974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33,363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22,032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16,590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38,622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10,951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2,514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13,465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13,053</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1,070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14,123</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964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1,922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2,886</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1,352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5,984</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7,336</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8,850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6,842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15,693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5,092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8,727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13,818</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346</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348</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1,865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1,873</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277</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693</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970</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671</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801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1,471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8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31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2,217</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86</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2,304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2,451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2,534</w:t>
            </w:r>
          </w:p>
        </w:tc>
      </w:tr>
      <w:tr w:rsidR="006C5EB0" w:rsidRPr="00D5469A" w:rsidTr="006C5EB0">
        <w:trPr>
          <w:trHeight w:hRule="exact" w:val="288"/>
        </w:trPr>
        <w:tc>
          <w:tcPr>
            <w:tcW w:w="4068" w:type="dxa"/>
            <w:tcBorders>
              <w:top w:val="single" w:sz="12" w:space="0" w:color="auto"/>
              <w:bottom w:val="single" w:sz="12" w:space="0" w:color="auto"/>
            </w:tcBorders>
            <w:shd w:val="clear" w:color="auto" w:fill="auto"/>
            <w:noWrap/>
            <w:vAlign w:val="center"/>
          </w:tcPr>
          <w:p w:rsidR="006C5EB0" w:rsidRPr="00D5469A" w:rsidRDefault="006C5EB0"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144,858</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452,857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597,715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184,326</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439,948</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624,274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91090" w:rsidP="00691090">
            <w:pPr>
              <w:jc w:val="right"/>
              <w:rPr>
                <w:color w:val="auto"/>
                <w:sz w:val="12"/>
                <w:szCs w:val="16"/>
              </w:rPr>
            </w:pPr>
            <w:r>
              <w:rPr>
                <w:sz w:val="14"/>
                <w:szCs w:val="14"/>
              </w:rPr>
              <w:t>Source: Statistics &amp; Data Warehouse Department SBP</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Depository NBFCs, DFIs and MFIs.</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A38" w:rsidRDefault="00565A38">
      <w:r>
        <w:separator/>
      </w:r>
    </w:p>
  </w:endnote>
  <w:endnote w:type="continuationSeparator" w:id="0">
    <w:p w:rsidR="00565A38" w:rsidRDefault="00565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38" w:rsidRDefault="00565A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565A38" w:rsidRDefault="00565A3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38" w:rsidRPr="008961D3" w:rsidRDefault="00565A38"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3B6A4E">
      <w:rPr>
        <w:noProof/>
        <w:sz w:val="20"/>
      </w:rPr>
      <w:t>13</w:t>
    </w:r>
    <w:r w:rsidRPr="008961D3">
      <w:rPr>
        <w:sz w:val="20"/>
      </w:rPr>
      <w:fldChar w:fldCharType="end"/>
    </w:r>
  </w:p>
  <w:p w:rsidR="00565A38" w:rsidRPr="008961D3" w:rsidRDefault="00565A38">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A38" w:rsidRDefault="00565A38">
      <w:r>
        <w:separator/>
      </w:r>
    </w:p>
  </w:footnote>
  <w:footnote w:type="continuationSeparator" w:id="0">
    <w:p w:rsidR="00565A38" w:rsidRDefault="00565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0C18"/>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C8825-10BF-4059-ABEF-D93F3406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14</Pages>
  <Words>7628</Words>
  <Characters>48873</Characters>
  <Application>Microsoft Office Word</Application>
  <DocSecurity>0</DocSecurity>
  <Lines>407</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56389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138</cp:revision>
  <cp:lastPrinted>2017-11-30T11:38:00Z</cp:lastPrinted>
  <dcterms:created xsi:type="dcterms:W3CDTF">2017-08-23T10:08:00Z</dcterms:created>
  <dcterms:modified xsi:type="dcterms:W3CDTF">2018-04-30T12:11:00Z</dcterms:modified>
</cp:coreProperties>
</file>