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tblLook w:val="04A0"/>
      </w:tblPr>
      <w:tblGrid>
        <w:gridCol w:w="1960"/>
        <w:gridCol w:w="846"/>
        <w:gridCol w:w="841"/>
        <w:gridCol w:w="900"/>
        <w:gridCol w:w="826"/>
        <w:gridCol w:w="806"/>
        <w:gridCol w:w="846"/>
        <w:gridCol w:w="810"/>
        <w:gridCol w:w="780"/>
        <w:gridCol w:w="736"/>
      </w:tblGrid>
      <w:tr w:rsidR="006C04E7" w:rsidRPr="00423117" w:rsidTr="005170A5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5170A5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5170A5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1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5170A5" w:rsidRPr="00423117" w:rsidTr="005170A5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26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</w:tr>
      <w:tr w:rsidR="005170A5" w:rsidRPr="00423117" w:rsidTr="005170A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5170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432,158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548,760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622,938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1,559,211.4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2,239,416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357,461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3,308,876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55</w:t>
            </w:r>
            <w:r w:rsidR="00C42D1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5,920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7,553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21,498.6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31,994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5,131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47,412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21,042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273,951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452,820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737,434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1,497,491.0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1,133,074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1,111,973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2,223,758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3,753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6,156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10,167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20,647.7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15,622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15,331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31,220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242,87</w:t>
            </w:r>
            <w:r w:rsidR="00C42D1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1,173,139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1,269,079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3,253,503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3,315,224.6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4,421,566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3,667,054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4,752,172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161,54</w:t>
            </w:r>
            <w:r w:rsidR="00C42D1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411,151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87,052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64,936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4,69</w:t>
            </w:r>
            <w:r w:rsidR="00C42D1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12,281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2,608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2,056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41,67</w:t>
            </w:r>
            <w:r w:rsidR="00C42D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117,642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28,700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445,476.6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242,218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181,711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34,823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3,464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13,352.9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7,259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5,446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1,044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816,88</w:t>
            </w:r>
            <w:r w:rsidR="00C42D1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1,561,687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1,620,038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1,163,423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717,947.4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475,729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294,018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324,130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 w:rsidR="00C42D1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7,62</w:t>
            </w:r>
            <w:r w:rsidR="00C42D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295,456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36,327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130,461.8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215,515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</w:t>
            </w:r>
            <w:r w:rsidR="00C42D1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18,285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7,732.8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12,849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</w:tr>
      <w:tr w:rsidR="005170A5" w:rsidRPr="00423117" w:rsidTr="005170A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1,712,268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1,116,601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1,087,652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413,268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282,807.1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67,292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64,425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170A5" w:rsidRPr="005170A5" w:rsidRDefault="005170A5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57,048</w:t>
            </w:r>
          </w:p>
        </w:tc>
      </w:tr>
      <w:tr w:rsidR="005170A5" w:rsidRPr="00423117" w:rsidTr="005170A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605286" w:rsidRDefault="005170A5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423117" w:rsidRDefault="005170A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70A5" w:rsidRPr="00423117" w:rsidTr="005170A5">
        <w:trPr>
          <w:trHeight w:val="32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5170A5" w:rsidRPr="006C1D3D" w:rsidRDefault="005170A5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5170A5" w:rsidRPr="00423117" w:rsidTr="005170A5">
        <w:trPr>
          <w:trHeight w:val="25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70A5" w:rsidRPr="006C1D3D" w:rsidRDefault="005170A5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5130D2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</w:tr>
      <w:tr w:rsidR="005130D2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129.7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6C1D3D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5130D2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5130D2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5130D2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5130D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5130D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5130D2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5130D2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</w:tr>
      <w:tr w:rsidR="005130D2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5,999.4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5,720.8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190.7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5130D2" w:rsidRPr="00E73AA6" w:rsidRDefault="005130D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</w:tr>
      <w:tr w:rsidR="00F21299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11,570</w:t>
            </w:r>
          </w:p>
        </w:tc>
      </w:tr>
      <w:tr w:rsidR="00F21299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377FA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F2129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F2129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1299" w:rsidRPr="00E73AA6" w:rsidRDefault="00F21299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F21299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F21299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749" w:type="dxa"/>
        <w:jc w:val="center"/>
        <w:tblInd w:w="1786" w:type="dxa"/>
        <w:tblLook w:val="04A0"/>
      </w:tblPr>
      <w:tblGrid>
        <w:gridCol w:w="1189"/>
        <w:gridCol w:w="726"/>
        <w:gridCol w:w="789"/>
        <w:gridCol w:w="619"/>
        <w:gridCol w:w="802"/>
        <w:gridCol w:w="688"/>
        <w:gridCol w:w="691"/>
        <w:gridCol w:w="700"/>
        <w:gridCol w:w="708"/>
        <w:gridCol w:w="691"/>
        <w:gridCol w:w="708"/>
        <w:gridCol w:w="677"/>
        <w:gridCol w:w="761"/>
      </w:tblGrid>
      <w:tr w:rsidR="007F6980" w:rsidRPr="00254811" w:rsidTr="004C5176">
        <w:trPr>
          <w:trHeight w:val="270"/>
          <w:jc w:val="center"/>
        </w:trPr>
        <w:tc>
          <w:tcPr>
            <w:tcW w:w="9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4C5176">
        <w:trPr>
          <w:trHeight w:val="315"/>
          <w:jc w:val="center"/>
        </w:trPr>
        <w:tc>
          <w:tcPr>
            <w:tcW w:w="9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4C5176">
        <w:trPr>
          <w:trHeight w:val="162"/>
          <w:jc w:val="center"/>
        </w:trPr>
        <w:tc>
          <w:tcPr>
            <w:tcW w:w="9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4C5176">
        <w:trPr>
          <w:trHeight w:val="240"/>
          <w:jc w:val="center"/>
        </w:trPr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3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79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4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F21299" w:rsidRPr="00254811" w:rsidTr="004C5176">
        <w:trPr>
          <w:trHeight w:val="480"/>
          <w:jc w:val="center"/>
        </w:trPr>
        <w:tc>
          <w:tcPr>
            <w:tcW w:w="117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F21299" w:rsidRPr="00254811" w:rsidTr="004C5176">
        <w:trPr>
          <w:trHeight w:val="123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EF41A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5498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33C23" w:rsidRDefault="00F21299" w:rsidP="00F21299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33C23" w:rsidRDefault="00F21299" w:rsidP="00F21299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5498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33C23" w:rsidRDefault="00F21299" w:rsidP="00F21299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33C23" w:rsidRDefault="00F21299" w:rsidP="00F21299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605286" w:rsidRDefault="00F21299" w:rsidP="00F2129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605286" w:rsidRDefault="00F21299" w:rsidP="00F2129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5130D2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5130D2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605286" w:rsidRDefault="00F21299" w:rsidP="00F2129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162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C23A4C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254811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F21299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605286" w:rsidRDefault="00F21299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7F6980" w:rsidRDefault="00F21299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3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Pr="00F21299" w:rsidRDefault="00F21299" w:rsidP="00F21299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F21299" w:rsidRPr="00254811" w:rsidTr="004C5176">
        <w:trPr>
          <w:trHeight w:val="270"/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21299" w:rsidRDefault="00F21299" w:rsidP="00C23A4C">
            <w:pPr>
              <w:jc w:val="right"/>
            </w:pPr>
          </w:p>
        </w:tc>
      </w:tr>
      <w:tr w:rsidR="00F21299" w:rsidRPr="00254811" w:rsidTr="004C5176">
        <w:trPr>
          <w:trHeight w:val="135"/>
          <w:jc w:val="center"/>
        </w:trPr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Pr="00254811" w:rsidRDefault="00F2129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21299" w:rsidRPr="00254811" w:rsidTr="004C5176">
        <w:trPr>
          <w:trHeight w:val="69"/>
          <w:jc w:val="center"/>
        </w:trPr>
        <w:tc>
          <w:tcPr>
            <w:tcW w:w="974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F21299" w:rsidRDefault="00F21299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F21299" w:rsidRPr="009A072D" w:rsidRDefault="00F21299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0A56D6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73,961.50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0A56D6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27-Jul-17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34,891.00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15,075.00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23,190.00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0A56D6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C87578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7578">
              <w:rPr>
                <w:b/>
                <w:bCs/>
                <w:color w:val="000000"/>
                <w:sz w:val="16"/>
                <w:szCs w:val="16"/>
              </w:rPr>
              <w:t>24-Aug-17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19,835.00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3,009.00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C8757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2,825.00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2,042.40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21,600.00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8A3F0B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8A3F0B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F46C28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4F5B9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 w:rsidP="00EF0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F46C28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89" w:rsidRPr="00E73AA6" w:rsidTr="00EF0A8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EF0A89" w:rsidRPr="00E73AA6" w:rsidTr="00EF0A8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EF0A89" w:rsidRPr="00E73AA6" w:rsidTr="00EF0A8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EF0A89" w:rsidRPr="00E73AA6" w:rsidTr="00EF0A8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0A89" w:rsidRDefault="00EF0A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F0A89" w:rsidRDefault="00EF0A89" w:rsidP="00EF0A8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89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0A89" w:rsidRPr="00E73AA6" w:rsidRDefault="00EF0A89" w:rsidP="00EF0A89">
            <w:pPr>
              <w:jc w:val="right"/>
              <w:rPr>
                <w:sz w:val="16"/>
                <w:szCs w:val="16"/>
              </w:rPr>
            </w:pPr>
          </w:p>
        </w:tc>
      </w:tr>
      <w:tr w:rsidR="00EF0A89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F0A89" w:rsidRDefault="00EF0A89" w:rsidP="00EF0A8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EF0A89" w:rsidRPr="00E73AA6" w:rsidRDefault="00EF0A89" w:rsidP="00EF0A89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563"/>
        <w:gridCol w:w="36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C60D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73C06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677FFB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8A02BC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9F3062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3519A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E73AA6" w:rsidRDefault="008431A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C83337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E95FC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Pr="000D7FE0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C833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431A8" w:rsidRDefault="008431A8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Default="008431A8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31A8" w:rsidRPr="008431A8" w:rsidRDefault="008431A8" w:rsidP="008431A8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8431A8" w:rsidRPr="00E73AA6" w:rsidTr="008431A8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431A8" w:rsidRPr="00E73AA6" w:rsidRDefault="008431A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8431A8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431A8" w:rsidRPr="00E73AA6" w:rsidRDefault="008431A8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1A8" w:rsidRPr="00E73AA6" w:rsidRDefault="008431A8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1A8" w:rsidRPr="00E73AA6" w:rsidRDefault="008431A8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8431A8" w:rsidRPr="00E73AA6" w:rsidRDefault="008431A8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8431A8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431A8" w:rsidRDefault="008431A8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8431A8" w:rsidRPr="00E73AA6" w:rsidRDefault="008431A8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3C60D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416B3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73C06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FE50AE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77FFB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2F6765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4157D9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9F3062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77225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1624BC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6416CF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C83337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0D7FE0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8C0564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8C0564" w:rsidRPr="00E73AA6" w:rsidTr="000D7FE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A84F6A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C0564" w:rsidRPr="00E73AA6" w:rsidTr="008C056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C0564" w:rsidRPr="008C0564" w:rsidRDefault="008C0564" w:rsidP="008C056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8C0564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0564" w:rsidRPr="00E73AA6" w:rsidRDefault="008C0564" w:rsidP="008C0564">
            <w:pPr>
              <w:jc w:val="right"/>
              <w:rPr>
                <w:sz w:val="16"/>
                <w:szCs w:val="16"/>
              </w:rPr>
            </w:pPr>
          </w:p>
        </w:tc>
      </w:tr>
      <w:tr w:rsidR="008C0564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8C0564" w:rsidRPr="00E73AA6" w:rsidRDefault="008C0564" w:rsidP="008C0564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8C0564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8C0564" w:rsidRPr="00E73AA6" w:rsidRDefault="008C0564" w:rsidP="008C0564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8C0564" w:rsidP="006416CF">
      <w:pPr>
        <w:tabs>
          <w:tab w:val="right" w:pos="9271"/>
        </w:tabs>
        <w:ind w:right="-252"/>
        <w:jc w:val="center"/>
      </w:pPr>
      <w:r w:rsidRPr="008C0564">
        <w:lastRenderedPageBreak/>
        <w:drawing>
          <wp:inline distT="0" distB="0" distL="0" distR="0">
            <wp:extent cx="5071904" cy="7896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836" cy="79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p w:rsidR="008C0564" w:rsidRDefault="008C056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115.5376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115.5977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142.5386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142.8482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162.4362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162.5276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162.7727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3-Apr-18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115.5950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142.3656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142.6882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162.7863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163.0471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4-Apr-18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115.6297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142.0877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142.1804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142.4899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162.4991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162.5758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162.8265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5-Apr-18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115.6339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115.6922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142.0616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142.3732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162.5901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162.6803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162.9312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6-Apr-18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115.5933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115.6224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141.5324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141.6367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141.9436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1.0769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161.9693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162.0588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162.3049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9-Apr-18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115.6295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141.9780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142.0659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142.3701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163.4243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10-Apr-18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115.6303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142.4903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142.5796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142.8970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163.8609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163.9346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164.1798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11-Apr-18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115.6314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143.4197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164.1222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164.1974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164.4366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12-Apr-18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115.6268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142.7104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163.6775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163.9088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13-Apr-18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115.6974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142.5555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142.6650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142.9687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1.0746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165.0883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165.1856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165.4233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16-Apr-18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115.7042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142.9287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143.3452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1.0786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165.1922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165.4442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17-Apr-18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115.7028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143.1775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143.2799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143.6057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165.6935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165.7829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166.0344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18-Apr-18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142.9654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143.0631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143.3783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163.9497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164.0338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164.2784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19-Apr-18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115.7072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142.9532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143.0490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143.3646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163.9838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164.0653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164.3120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20-Apr-18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115.7115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142.2445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142.3601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142.6580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162.4915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162.7338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23-Apr-18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141.4303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141.5341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141.8452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1.0726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161.5710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161.6597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161.9071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24-Apr-18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115.7271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141.0767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141.2022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161.2405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161.3539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161.6186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25-Apr-18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141.1517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141.2748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141.6051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161.4021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161.5131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161.7737</w:t>
            </w:r>
          </w:p>
        </w:tc>
      </w:tr>
      <w:tr w:rsidR="00564D09" w:rsidRPr="00930252" w:rsidTr="00564D0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26-Apr-18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115.7475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140.7137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140.8396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141.1774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160.8371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160.9585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161.2251</w:t>
            </w:r>
          </w:p>
        </w:tc>
      </w:tr>
      <w:tr w:rsidR="00564D09" w:rsidRPr="00930252" w:rsidTr="00564D09">
        <w:trPr>
          <w:trHeight w:hRule="exact" w:val="34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27-Apr-18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115.7648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139.6934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139.8353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159.7354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159.8685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160.1550</w:t>
            </w:r>
          </w:p>
        </w:tc>
      </w:tr>
      <w:tr w:rsidR="00564D09" w:rsidRPr="00930252" w:rsidTr="00564D09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64D09" w:rsidRPr="003C7024" w:rsidRDefault="00564D09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30-Apr-18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115.7650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139.9079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140.0434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140.4063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158.7996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158.9240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64D09" w:rsidRDefault="00564D09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159.2302</w:t>
            </w:r>
          </w:p>
        </w:tc>
      </w:tr>
      <w:tr w:rsidR="004723D8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84633" w:rsidRDefault="004723D8" w:rsidP="004723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121.2830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385.5558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385.8272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3-Apr-18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121.4537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88.8847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385.6924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385.9395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4-Apr-18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120.7762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88.7152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385.4585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385.5671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385.8096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5-Apr-18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120.7584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385.2292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385.3819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385.7372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6-Apr-18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120.1156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385.0479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385.2076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385.5630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9-Apr-18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385.4505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385.8382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10-Apr-18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121.3540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89.2862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89.3486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385.6335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386.0029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11-Apr-18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89.6337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385.7143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386.0813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12-Apr-18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120.1475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385.5732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385.9239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13-Apr-18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385.6187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386.0376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16-Apr-18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120.7669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385.7133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386.1863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17-Apr-18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89.9889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90.0109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385.6080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385.7857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386.2554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18-Apr-18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89.6684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89.7140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385.5746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386.0452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19-Apr-18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119.3454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119.4346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385.6734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386.1632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20-Apr-18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88.9504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89.0014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385.1677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385.3510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385.8332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23-Apr-18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88.3839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384.8753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385.0430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385.5353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24-Apr-18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88.0634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384.6040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384.8348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385.3184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25-Apr-18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384.5779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384.8066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385.3017</w:t>
            </w:r>
          </w:p>
        </w:tc>
      </w:tr>
      <w:tr w:rsidR="009E1FEC" w:rsidRPr="00B455F2" w:rsidTr="009E1FEC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26-Apr-18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117.9238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30.8668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384.4792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384.7175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385.2671</w:t>
            </w:r>
          </w:p>
        </w:tc>
      </w:tr>
      <w:tr w:rsidR="009E1FEC" w:rsidRPr="00B455F2" w:rsidTr="009E1FEC">
        <w:trPr>
          <w:trHeight w:val="33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27-Apr-18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116.7546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116.8818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384.0881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384.3714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384.9331</w:t>
            </w:r>
          </w:p>
        </w:tc>
      </w:tr>
      <w:tr w:rsidR="009E1FEC" w:rsidRPr="00B455F2" w:rsidTr="009E1FEC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1FEC" w:rsidRPr="003C7024" w:rsidRDefault="009E1FEC" w:rsidP="003C7024">
            <w:pPr>
              <w:jc w:val="center"/>
              <w:rPr>
                <w:sz w:val="14"/>
                <w:szCs w:val="14"/>
              </w:rPr>
            </w:pPr>
            <w:r w:rsidRPr="003C7024">
              <w:rPr>
                <w:sz w:val="14"/>
                <w:szCs w:val="14"/>
              </w:rPr>
              <w:t>30-Apr-18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116.8436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564D0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87.4243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384.1281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384.3921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E1FEC" w:rsidRDefault="009E1FEC" w:rsidP="009E1F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384.9401</w:t>
            </w:r>
          </w:p>
        </w:tc>
      </w:tr>
      <w:tr w:rsidR="003C7024" w:rsidRPr="00B455F2" w:rsidTr="00ED477A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A84633" w:rsidRDefault="003C7024" w:rsidP="003C70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C7024" w:rsidRPr="005D6A66" w:rsidRDefault="003C7024" w:rsidP="003C7024">
            <w:pPr>
              <w:jc w:val="right"/>
              <w:rPr>
                <w:sz w:val="14"/>
                <w:szCs w:val="14"/>
              </w:rPr>
            </w:pPr>
          </w:p>
        </w:tc>
      </w:tr>
      <w:tr w:rsidR="003C7024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C7024" w:rsidRPr="00B455F2" w:rsidRDefault="003C7024" w:rsidP="003C70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C7024" w:rsidRPr="00B455F2" w:rsidRDefault="003C7024" w:rsidP="003C7024">
            <w:pPr>
              <w:jc w:val="right"/>
              <w:rPr>
                <w:sz w:val="15"/>
                <w:szCs w:val="15"/>
              </w:rPr>
            </w:pPr>
          </w:p>
        </w:tc>
      </w:tr>
      <w:tr w:rsidR="003C7024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C7024" w:rsidRPr="00B455F2" w:rsidRDefault="003C7024" w:rsidP="003C7024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C7024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C7024" w:rsidRPr="00B455F2" w:rsidRDefault="003C7024" w:rsidP="003C7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30"/>
        <w:gridCol w:w="6"/>
        <w:gridCol w:w="534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4F5B98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524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2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4F5B98" w:rsidRPr="00E73AA6" w:rsidTr="004F5B98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B98" w:rsidRPr="00E73AA6" w:rsidRDefault="004F5B98" w:rsidP="004F5B9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F5B98" w:rsidRPr="00A1152B" w:rsidRDefault="004F5B98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A1152B" w:rsidRDefault="00BE1F45" w:rsidP="004F5B9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4F5B98" w:rsidRPr="00E73AA6" w:rsidTr="003953FE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B98" w:rsidRPr="00E73AA6" w:rsidRDefault="004F5B9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B98" w:rsidRPr="00E73AA6" w:rsidRDefault="004F5B98" w:rsidP="004F5B98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4F5B98" w:rsidRPr="00E73AA6" w:rsidTr="003953FE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5B98" w:rsidRPr="00E73AA6" w:rsidRDefault="004F5B98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B98" w:rsidRPr="00E73AA6" w:rsidRDefault="004F5B98" w:rsidP="004F5B98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530AF6" w:rsidRDefault="004F5B98" w:rsidP="004F5B98">
            <w:pPr>
              <w:jc w:val="right"/>
              <w:rPr>
                <w:sz w:val="14"/>
                <w:szCs w:val="14"/>
              </w:rPr>
            </w:pP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F45" w:rsidRPr="00E73AA6" w:rsidRDefault="00BE1F45" w:rsidP="004F5B9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E1F45" w:rsidRPr="00E73AA6" w:rsidTr="00BE1F45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E1F45" w:rsidRPr="00E73AA6" w:rsidRDefault="00BE1F45" w:rsidP="004F5B9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E1F45" w:rsidRPr="00E73AA6" w:rsidTr="00BE1F45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4F5B98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Pr="00530AF6" w:rsidRDefault="00BE1F45" w:rsidP="00BE1F4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F45" w:rsidRPr="00E73AA6" w:rsidRDefault="00BE1F45" w:rsidP="004F5B9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</w:tr>
      <w:tr w:rsidR="00BE1F45" w:rsidRPr="00E73AA6" w:rsidTr="00BE1F45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F45" w:rsidRPr="00E73AA6" w:rsidRDefault="00BE1F45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BE1F45" w:rsidRPr="00E73AA6" w:rsidRDefault="00BE1F45" w:rsidP="004F5B98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4F5B9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F45" w:rsidRDefault="00BE1F45" w:rsidP="00BE1F4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F5B98" w:rsidRPr="00E73AA6" w:rsidTr="003953FE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5B98" w:rsidRPr="00E73AA6" w:rsidRDefault="004F5B98" w:rsidP="004F5B98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F5B98" w:rsidRPr="00E73AA6" w:rsidRDefault="004F5B98" w:rsidP="004F5B9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F5B98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F5B98" w:rsidRPr="00E73AA6" w:rsidRDefault="004F5B98" w:rsidP="004F5B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F5B98" w:rsidRPr="00E73AA6" w:rsidTr="00FD651C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B98" w:rsidRPr="00E73AA6" w:rsidRDefault="004F5B98" w:rsidP="004F5B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09" w:rsidRDefault="00564D09">
      <w:r>
        <w:separator/>
      </w:r>
    </w:p>
  </w:endnote>
  <w:endnote w:type="continuationSeparator" w:id="0">
    <w:p w:rsidR="00564D09" w:rsidRDefault="00564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09" w:rsidRDefault="00564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4D09" w:rsidRDefault="00564D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09" w:rsidRDefault="00564D09">
    <w:pPr>
      <w:pStyle w:val="Footer"/>
      <w:jc w:val="center"/>
    </w:pPr>
    <w:fldSimple w:instr=" PAGE   \* MERGEFORMAT ">
      <w:r w:rsidR="009E1FEC">
        <w:rPr>
          <w:noProof/>
        </w:rPr>
        <w:t>132</w:t>
      </w:r>
    </w:fldSimple>
  </w:p>
  <w:p w:rsidR="00564D09" w:rsidRDefault="00564D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09" w:rsidRDefault="00564D09">
      <w:r>
        <w:separator/>
      </w:r>
    </w:p>
  </w:footnote>
  <w:footnote w:type="continuationSeparator" w:id="0">
    <w:p w:rsidR="00564D09" w:rsidRDefault="00564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6B5B-B377-4288-8001-C70D602D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11</Pages>
  <Words>3561</Words>
  <Characters>20936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24449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124</cp:revision>
  <cp:lastPrinted>2017-10-31T07:38:00Z</cp:lastPrinted>
  <dcterms:created xsi:type="dcterms:W3CDTF">2017-08-23T10:10:00Z</dcterms:created>
  <dcterms:modified xsi:type="dcterms:W3CDTF">2018-05-25T04:54:00Z</dcterms:modified>
</cp:coreProperties>
</file>