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jc w:val="center"/>
        <w:tblInd w:w="188" w:type="dxa"/>
        <w:tblLook w:val="04A0"/>
      </w:tblPr>
      <w:tblGrid>
        <w:gridCol w:w="1960"/>
        <w:gridCol w:w="846"/>
        <w:gridCol w:w="846"/>
        <w:gridCol w:w="875"/>
        <w:gridCol w:w="846"/>
        <w:gridCol w:w="878"/>
        <w:gridCol w:w="900"/>
        <w:gridCol w:w="900"/>
        <w:gridCol w:w="900"/>
        <w:gridCol w:w="881"/>
      </w:tblGrid>
      <w:tr w:rsidR="006C04E7" w:rsidRPr="00423117" w:rsidTr="002B14AB">
        <w:trPr>
          <w:trHeight w:val="43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2B14AB">
        <w:trPr>
          <w:trHeight w:val="43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F4A41" w:rsidRPr="00423117" w:rsidTr="002B14AB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8F4A41">
            <w:pPr>
              <w:jc w:val="center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5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2D7E41">
            <w:pPr>
              <w:jc w:val="center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2B14AB" w:rsidRPr="00423117" w:rsidTr="002B14AB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D7E4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</w:tr>
      <w:tr w:rsidR="002B14AB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B14AB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8338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117">
              <w:rPr>
                <w:b/>
                <w:bCs/>
                <w:color w:val="000000"/>
                <w:sz w:val="16"/>
                <w:szCs w:val="16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14AB" w:rsidRPr="00423117" w:rsidRDefault="002B14A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40,899.8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106,240.1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89,247.1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259,517.6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287,915.3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1,154,468.8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1,524,140.5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737,433.9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1,497,491.0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556.9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1,432.0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1,206.3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3,555.9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3,969.6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15,917.1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10,167.4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20,646.7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21,042.0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61,417.3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165,422.4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40,039.1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238,038.4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548,760.2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556,269.0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670,940.0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1,323,314.9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2,215.5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539.7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3,263.1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7,553.0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7,669.5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9,250.6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18,244.1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242,874.9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384,512.9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308,337.6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815,942.2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1,364,405.8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1,970,114.4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2,937,985.9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3,004,479.8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3,178,655.9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8338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117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117,642.1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28,700.4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222,002.7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445,475.6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326,659.1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97,270.5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34,823.4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4,696.6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3,463.6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6,653.9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13,351.9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2,915.4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1,043.7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41,671.8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141,961.3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25,367.2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490,016.4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649,715.8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211,058.2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87,051.6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1,312.1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4,382.2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14,502.5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6,304.7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2,608.0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816,882.6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1,267,203.6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1,270,536.8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1,049,790.1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1,794,335.0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1,471,278.3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1,357,490.6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1,305,262.5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8338A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117">
              <w:rPr>
                <w:b/>
                <w:bCs/>
                <w:color w:val="000000"/>
                <w:sz w:val="16"/>
                <w:szCs w:val="16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0A0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75,422.1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52,114.7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5,652.8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16,251.3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4,448.3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3,074.0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340.7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978.6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7,620.8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70,197.8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157,318.2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940.7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224,113.8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195,810.9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43,011.3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52,114.7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519.4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4,879.5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10,050.0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13,053.1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2,536.5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3,074.0</w:t>
            </w:r>
          </w:p>
        </w:tc>
      </w:tr>
      <w:tr w:rsidR="00EF0A05" w:rsidRPr="00423117" w:rsidTr="00EF0A05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1,712,268.0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1,697,923.4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1,592,719.9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1,537,189.6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884,431.4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Pr="00A43E81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A43E81">
              <w:rPr>
                <w:color w:val="000000"/>
                <w:sz w:val="16"/>
                <w:szCs w:val="16"/>
              </w:rPr>
              <w:t>676,568.9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499,936.4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2B14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466,474.4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F0A05" w:rsidRDefault="00EF0A05" w:rsidP="00EF41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414,359.7</w:t>
            </w:r>
          </w:p>
        </w:tc>
      </w:tr>
      <w:tr w:rsidR="00EF0A05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0A05" w:rsidRPr="00423117" w:rsidTr="002B14AB">
        <w:trPr>
          <w:trHeight w:val="32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0A05" w:rsidRDefault="00EF0A05" w:rsidP="00B82CC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Source: Domestic Markets &amp; Monetary Management Department  SBP </w:t>
            </w:r>
          </w:p>
          <w:p w:rsidR="00EF0A05" w:rsidRPr="00423117" w:rsidRDefault="00EF0A05" w:rsidP="006C04E7">
            <w:pPr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Note:</w:t>
            </w:r>
            <w:r>
              <w:rPr>
                <w:color w:val="000000"/>
                <w:sz w:val="16"/>
                <w:szCs w:val="16"/>
              </w:rPr>
              <w:t xml:space="preserve"> Six m</w:t>
            </w:r>
            <w:r w:rsidRPr="00423117">
              <w:rPr>
                <w:color w:val="000000"/>
                <w:sz w:val="16"/>
                <w:szCs w:val="16"/>
              </w:rPr>
              <w:t>onths Government of Pakistan Treasury Bills restarted w. e. f.  June 1998 and 3  &amp; 12 Months Government  of  Pakistan</w:t>
            </w:r>
          </w:p>
        </w:tc>
      </w:tr>
      <w:tr w:rsidR="00EF0A05" w:rsidRPr="00423117" w:rsidTr="002B14AB">
        <w:trPr>
          <w:trHeight w:val="25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F0A05" w:rsidRPr="00423117" w:rsidRDefault="00EF0A05" w:rsidP="006C04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423117">
              <w:rPr>
                <w:color w:val="000000"/>
                <w:sz w:val="16"/>
                <w:szCs w:val="16"/>
              </w:rPr>
              <w:t xml:space="preserve">Treasury   Bills restarted </w:t>
            </w:r>
            <w:proofErr w:type="spellStart"/>
            <w:r w:rsidRPr="00423117">
              <w:rPr>
                <w:color w:val="000000"/>
                <w:sz w:val="16"/>
                <w:szCs w:val="16"/>
              </w:rPr>
              <w:t>w.e.f</w:t>
            </w:r>
            <w:proofErr w:type="spellEnd"/>
            <w:r w:rsidRPr="00423117">
              <w:rPr>
                <w:color w:val="000000"/>
                <w:sz w:val="16"/>
                <w:szCs w:val="16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7D24FF" w:rsidRPr="00E73AA6" w:rsidTr="00F77CE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35.8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7D24FF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7D24FF" w:rsidRPr="00E73AA6" w:rsidTr="00F77CE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6,593.5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6,360.0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212.0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75088A" w:rsidRPr="00E73AA6" w:rsidTr="009A311E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69216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2217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4,250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C703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C7039E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D40D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D40D73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EF41A9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41A9" w:rsidRPr="00E73AA6" w:rsidRDefault="00EF41A9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EF41A9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EF41A9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599" w:type="dxa"/>
        <w:jc w:val="center"/>
        <w:tblInd w:w="467" w:type="dxa"/>
        <w:tblLook w:val="04A0"/>
      </w:tblPr>
      <w:tblGrid>
        <w:gridCol w:w="1189"/>
        <w:gridCol w:w="630"/>
        <w:gridCol w:w="720"/>
        <w:gridCol w:w="656"/>
        <w:gridCol w:w="708"/>
        <w:gridCol w:w="720"/>
        <w:gridCol w:w="808"/>
        <w:gridCol w:w="715"/>
        <w:gridCol w:w="708"/>
        <w:gridCol w:w="7"/>
        <w:gridCol w:w="611"/>
        <w:gridCol w:w="720"/>
        <w:gridCol w:w="699"/>
        <w:gridCol w:w="708"/>
      </w:tblGrid>
      <w:tr w:rsidR="007F6980" w:rsidRPr="00254811" w:rsidTr="00EF41A9">
        <w:trPr>
          <w:trHeight w:val="270"/>
          <w:jc w:val="center"/>
        </w:trPr>
        <w:tc>
          <w:tcPr>
            <w:tcW w:w="9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EF41A9">
        <w:trPr>
          <w:trHeight w:val="315"/>
          <w:jc w:val="center"/>
        </w:trPr>
        <w:tc>
          <w:tcPr>
            <w:tcW w:w="9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EF41A9">
        <w:trPr>
          <w:trHeight w:val="162"/>
          <w:jc w:val="center"/>
        </w:trPr>
        <w:tc>
          <w:tcPr>
            <w:tcW w:w="95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F44C85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714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95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7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EF41A9" w:rsidRPr="00254811" w:rsidTr="00F44C85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EF41A9" w:rsidRPr="00254811" w:rsidTr="00F44C85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1-Sep-16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128,243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67,093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144,655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82,855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47,323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34,323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15-Sep-16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19,534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47,927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35,327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38,213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34,213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5.9131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29-Sep-16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53,430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21,045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20,974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16,085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11,335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70,217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14,917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37,481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27,181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37,179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33,279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128,336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42,664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2,364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21,910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10-Nov-16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298,590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278,190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87,970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32,770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5.9243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24-Nov-16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195,363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195,991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105,891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38,657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11,566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8-Dec-16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233,050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154,225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74,275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22-Dec-16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123,848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108,848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76,165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45,165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5.9792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2,525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5-Jan-17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185,949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14,631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362,756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109,826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25,665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19-Jan-17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161,651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635,868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280,668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5.9033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208,235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112,528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5.9313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385,376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297,326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269,956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248,956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104,535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379,251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292,101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226,073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214,073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155,829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152,829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5.9927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center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No Bids Rec.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EF41A9" w:rsidRPr="00254811" w:rsidTr="00F44C85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EF41A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Bids Rejected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7F6980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Default="00EF41A9" w:rsidP="007F69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C4C" w:rsidRPr="00254811" w:rsidTr="000051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147C4C" w:rsidRPr="00254811" w:rsidTr="0000512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EF41A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EF41A9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7C4C" w:rsidRPr="00254811" w:rsidRDefault="00147C4C" w:rsidP="00005129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EF41A9" w:rsidRPr="00254811" w:rsidTr="00F44C8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F41A9" w:rsidRPr="00254811" w:rsidTr="00F44C85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254811" w:rsidRDefault="00EF41A9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EF41A9">
        <w:trPr>
          <w:trHeight w:val="69"/>
          <w:jc w:val="center"/>
        </w:trPr>
        <w:tc>
          <w:tcPr>
            <w:tcW w:w="9599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F41A9" w:rsidRPr="009A072D" w:rsidRDefault="00EF41A9" w:rsidP="007F6980">
            <w:pPr>
              <w:jc w:val="right"/>
              <w:rPr>
                <w:color w:val="000000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7F6980" w:rsidRDefault="007F6980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C37397" w:rsidRDefault="000354CB" w:rsidP="000354CB">
            <w:pPr>
              <w:jc w:val="center"/>
              <w:rPr>
                <w:b/>
                <w:bCs/>
                <w:sz w:val="16"/>
                <w:szCs w:val="16"/>
              </w:rPr>
            </w:pPr>
            <w:r w:rsidRPr="00C37397">
              <w:rPr>
                <w:b/>
                <w:bCs/>
                <w:sz w:val="16"/>
                <w:szCs w:val="16"/>
              </w:rPr>
              <w:t>18-May-17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55,564.00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33,864.00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6.4060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6.3992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17,988.50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5,238.50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103.31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6.8902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9,422.00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1,114.00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105.39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C37397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885B3F" w:rsidRDefault="000354CB" w:rsidP="000354CB">
            <w:pPr>
              <w:jc w:val="center"/>
              <w:rPr>
                <w:b/>
                <w:bCs/>
                <w:sz w:val="16"/>
                <w:szCs w:val="16"/>
              </w:rPr>
            </w:pPr>
            <w:r w:rsidRPr="00885B3F">
              <w:rPr>
                <w:b/>
                <w:bCs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74,422.90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4CB" w:rsidRDefault="000354CB" w:rsidP="00035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4CB" w:rsidRDefault="000354CB" w:rsidP="00035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4CB" w:rsidRDefault="000354CB" w:rsidP="00035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85B3F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6E4425" w:rsidRDefault="000354CB" w:rsidP="000354CB">
            <w:pPr>
              <w:jc w:val="center"/>
              <w:rPr>
                <w:b/>
                <w:bCs/>
                <w:sz w:val="16"/>
                <w:szCs w:val="16"/>
              </w:rPr>
            </w:pPr>
            <w:r w:rsidRPr="006E4425">
              <w:rPr>
                <w:b/>
                <w:bCs/>
                <w:sz w:val="16"/>
                <w:szCs w:val="16"/>
              </w:rPr>
              <w:t>26-Jul-17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37,776.00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23,445.00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6E4425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6E4425" w:rsidRDefault="000354CB" w:rsidP="000354C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6E4425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</w:t>
            </w:r>
            <w:r w:rsidRPr="006E4425">
              <w:rPr>
                <w:b/>
                <w:bCs/>
                <w:sz w:val="16"/>
                <w:szCs w:val="16"/>
              </w:rPr>
              <w:t>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20,117.90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2,526.50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3,191.50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D974F6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04E11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800429" w:rsidRDefault="000354CB" w:rsidP="000354CB">
            <w:pPr>
              <w:jc w:val="center"/>
              <w:rPr>
                <w:b/>
                <w:bCs/>
                <w:sz w:val="16"/>
                <w:szCs w:val="16"/>
              </w:rPr>
            </w:pPr>
            <w:r w:rsidRPr="00800429">
              <w:rPr>
                <w:b/>
                <w:bCs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2,926.00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4CB" w:rsidRDefault="000354CB" w:rsidP="00035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4CB" w:rsidRDefault="000354CB" w:rsidP="00035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2,133.90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54CB" w:rsidRDefault="000354CB" w:rsidP="00035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800429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0354C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0354CB" w:rsidRDefault="000354CB" w:rsidP="000354CB">
            <w:pPr>
              <w:jc w:val="center"/>
              <w:rPr>
                <w:b/>
                <w:bCs/>
                <w:sz w:val="16"/>
                <w:szCs w:val="16"/>
              </w:rPr>
            </w:pPr>
            <w:r w:rsidRPr="000354CB">
              <w:rPr>
                <w:b/>
                <w:bCs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21,680.00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0354C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0354C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1,554.40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0354C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Default="000354CB" w:rsidP="000354C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0354CB" w:rsidRDefault="000354CB" w:rsidP="000354CB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354CB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</w:p>
        </w:tc>
      </w:tr>
      <w:tr w:rsidR="000354CB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54CB" w:rsidRPr="00E73AA6" w:rsidRDefault="000354CB" w:rsidP="000354C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30101C" w:rsidP="00DF5A95">
      <w:pPr>
        <w:tabs>
          <w:tab w:val="left" w:pos="1061"/>
        </w:tabs>
      </w:pP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</w:tr>
      <w:tr w:rsidR="008A02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A02BC" w:rsidRDefault="008A02BC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A02BC" w:rsidRDefault="008A02BC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A02BC" w:rsidRPr="00E73AA6" w:rsidRDefault="008A02BC" w:rsidP="00AE4F2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6.44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62AC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21367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C60D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073C06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677FFB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8A02B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9F3062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2B52B9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2B52B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3519A0" w:rsidRDefault="0099600C" w:rsidP="002B52B9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Pr="00E73AA6" w:rsidRDefault="0099600C" w:rsidP="00DF5A95">
            <w:pPr>
              <w:jc w:val="right"/>
              <w:rPr>
                <w:sz w:val="14"/>
                <w:szCs w:val="14"/>
              </w:rPr>
            </w:pPr>
          </w:p>
        </w:tc>
      </w:tr>
      <w:tr w:rsidR="0099600C" w:rsidRPr="00E73AA6" w:rsidTr="0099600C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0B5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0B57C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9600C" w:rsidRPr="00E73AA6" w:rsidTr="0099600C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00C" w:rsidRPr="00E73AA6" w:rsidRDefault="0099600C" w:rsidP="000B57C3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9600C" w:rsidRPr="00E73AA6" w:rsidRDefault="0099600C" w:rsidP="000B57C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9600C" w:rsidRDefault="0099600C" w:rsidP="0099600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9600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00C" w:rsidRPr="00E73AA6" w:rsidRDefault="0099600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99600C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9600C" w:rsidRPr="00E73AA6" w:rsidRDefault="0099600C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00C" w:rsidRPr="00E73AA6" w:rsidRDefault="0099600C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0C" w:rsidRPr="00E73AA6" w:rsidRDefault="0099600C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9600C" w:rsidRPr="00E73AA6" w:rsidRDefault="0099600C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99600C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9600C" w:rsidRDefault="0099600C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99600C" w:rsidRPr="00E73AA6" w:rsidRDefault="0099600C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E73AA6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D943E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D943E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D943E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D943E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D943E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D943E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41B87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62AC0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62AC0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62AC0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62AC0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62AC0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62AC0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3C60D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3C60D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3C60D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3C60D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3C60D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3C60D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8416B3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073C06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073C06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073C06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073C06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073C06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073C06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FE50AE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FE50AE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FE50AE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FE50AE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FE50AE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FE50AE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677FFB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4157D9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4157D9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4157D9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4157D9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4157D9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4157D9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77225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9F3062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7225C" w:rsidRPr="00E73AA6" w:rsidTr="0077225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77225C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77225C" w:rsidRPr="00E73AA6" w:rsidTr="002F6765">
        <w:trPr>
          <w:trHeight w:val="207"/>
        </w:trPr>
        <w:tc>
          <w:tcPr>
            <w:tcW w:w="45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7225C" w:rsidRPr="002F6765" w:rsidRDefault="0077225C" w:rsidP="0077225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7225C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jc w:val="right"/>
              <w:rPr>
                <w:sz w:val="16"/>
                <w:szCs w:val="16"/>
              </w:rPr>
            </w:pPr>
          </w:p>
        </w:tc>
      </w:tr>
      <w:tr w:rsidR="0077225C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77225C" w:rsidRPr="00E73AA6" w:rsidRDefault="0077225C" w:rsidP="0077225C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77225C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77225C" w:rsidRPr="00E73AA6" w:rsidRDefault="0077225C" w:rsidP="0077225C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8D3391" w:rsidP="00193993">
      <w:pPr>
        <w:tabs>
          <w:tab w:val="right" w:pos="9271"/>
        </w:tabs>
        <w:ind w:right="-252"/>
      </w:pPr>
      <w:r w:rsidRPr="008D3391">
        <w:lastRenderedPageBreak/>
        <w:drawing>
          <wp:inline distT="0" distB="0" distL="0" distR="0">
            <wp:extent cx="5286038" cy="8039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239" cy="804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3F" w:rsidRDefault="00BF213F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123.8130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123.9321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140.3280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140.4429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140.8036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3-Oct-17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123.8304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123.9355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139.6966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139.7966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140.1558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4-Oct-17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124.4060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139.8164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139.9209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140.2872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5-Oct-17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123.9942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124.1099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124.4923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138.9882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139.1008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139.4594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6-Oct-17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105.6514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123.3089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123.4088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137.8890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137.9836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138.3240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9-Oct-17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105.6573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123.8006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123.8949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124.2750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138.5719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138.6606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139.0087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10-Oct-17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105.6342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124.2716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124.6337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139.0778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139.4084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11-Oct-17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105.6390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124.5853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125.0512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139.0490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139.1436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139.4791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12-Oct-17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105.6287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124.9157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125.0324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125.4015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139.5124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139.6259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139.9630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13-Oct-17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105.3547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105.6086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124.7395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125.1096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140.1164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140.2453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140.5847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16-Oct-17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124.2892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124.4189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124.8092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140.2206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140.3491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140.7072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17-Oct-17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124.0329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124.1615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124.5385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139.7657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139.8929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140.2379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18-Oct-17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123.6686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123.8061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124.1882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138.6680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138.8055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139.1576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19-Oct-17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124.4461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124.9634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138.6987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138.8260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139.1755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20-Oct-17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124.9463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138.6338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138.7421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139.0785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23-Oct-17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123.8611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123.9814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124.3744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138.9438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139.0609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139.4127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24-Oct-17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123.9458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124.0699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124.4483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138.8769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138.9982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139.3363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25-Oct-17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124.2239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0.9235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139.0048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139.1248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139.4805</w:t>
            </w:r>
          </w:p>
        </w:tc>
      </w:tr>
      <w:tr w:rsidR="002F5D29" w:rsidRPr="00930252" w:rsidTr="002F5D29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26-Oct-17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124.6439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139.3358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139.6909</w:t>
            </w:r>
          </w:p>
        </w:tc>
      </w:tr>
      <w:tr w:rsidR="002F5D29" w:rsidRPr="00930252" w:rsidTr="002F5D29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27-Oct-17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122.5934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122.7211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123.0923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138.0671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138.1891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138.5264</w:t>
            </w:r>
          </w:p>
        </w:tc>
      </w:tr>
      <w:tr w:rsidR="002F5D29" w:rsidRPr="00930252" w:rsidTr="002F5D29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30-Oct-17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122.6589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122.7840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123.1583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138.7147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138.8330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139.1757</w:t>
            </w:r>
          </w:p>
        </w:tc>
      </w:tr>
      <w:tr w:rsidR="002F5D29" w:rsidRPr="00930252" w:rsidTr="002F5D29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F5D29" w:rsidRPr="002F5D29" w:rsidRDefault="002F5D29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31-Oct-17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105.3608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105.6256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122.7411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123.1246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139.2026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139.3241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F5D29" w:rsidRDefault="002F5D29" w:rsidP="002F5D2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139.6739</w:t>
            </w:r>
          </w:p>
        </w:tc>
      </w:tr>
      <w:tr w:rsidR="008309F9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309F9" w:rsidRPr="00B455F2" w:rsidRDefault="008309F9" w:rsidP="008309F9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349.1134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349.6572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3-Oct-17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108.5433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348.9549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349.5078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4-Oct-17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82.9309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348.7525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348.9254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349.5117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5-Oct-17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108.0840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82.5328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348.9683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349.1565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349.7285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6-Oct-17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107.6302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108.0740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81.9406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81.9710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82.0881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348.6815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348.8312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349.3595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9-Oct-17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107.7892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81.7746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81.8010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81.9153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348.8891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349.4192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10-Oct-17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107.8721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107.9454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82.1679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349.0468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349.5760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11-Oct-17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108.5414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82.2100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349.1647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349.7059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12-Oct-17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82.5652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349.4024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349.9608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13-Oct-17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108.1286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82.5559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28.1597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348.7411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348.9808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349.5473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16-Oct-17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108.0873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349.2750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349.8619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17-Oct-17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82.8274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82.8776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82.9973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349.1536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349.7331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18-Oct-17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107.4538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107.5811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107.9417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82.4387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82.6230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349.1177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349.7301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19-Oct-17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107.7730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108.2582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82.9254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349.0430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349.6490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20-Oct-17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107.7711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82.8362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349.0599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349.6381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23-Oct-17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106.8682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107.3459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82.3298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82.3741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82.4973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349.1073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349.7202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24-Oct-17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106.8722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82.0729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82.1914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349.1486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349.7419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25-Oct-17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106.2420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106.7158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81.2391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81.2860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81.4180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348.7697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348.9940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349.6381</w:t>
            </w:r>
          </w:p>
        </w:tc>
      </w:tr>
      <w:tr w:rsidR="002C13F1" w:rsidRPr="00B455F2" w:rsidTr="002C13F1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26-Oct-17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106.4657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106.9418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81.2560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81.3038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81.4363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349.1315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349.7888</w:t>
            </w:r>
          </w:p>
        </w:tc>
      </w:tr>
      <w:tr w:rsidR="002C13F1" w:rsidRPr="00B455F2" w:rsidTr="002C13F1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27-Oct-17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105.3752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80.5572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80.6060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348.1073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348.3422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348.9659</w:t>
            </w:r>
          </w:p>
        </w:tc>
      </w:tr>
      <w:tr w:rsidR="002C13F1" w:rsidRPr="00B455F2" w:rsidTr="002C13F1">
        <w:trPr>
          <w:trHeight w:val="37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30-Oct-17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106.1881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81.1981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348.6769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348.9048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349.5277</w:t>
            </w:r>
          </w:p>
        </w:tc>
      </w:tr>
      <w:tr w:rsidR="002C13F1" w:rsidRPr="00B455F2" w:rsidTr="002C13F1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C13F1" w:rsidRPr="002F5D29" w:rsidRDefault="002C13F1" w:rsidP="007D7704">
            <w:pPr>
              <w:jc w:val="center"/>
              <w:rPr>
                <w:sz w:val="14"/>
                <w:szCs w:val="14"/>
              </w:rPr>
            </w:pPr>
            <w:r w:rsidRPr="002F5D29">
              <w:rPr>
                <w:sz w:val="14"/>
                <w:szCs w:val="14"/>
              </w:rPr>
              <w:t>31-Oct-17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106.1616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80.9814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7D770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348.1850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348.4208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2C13F1" w:rsidRDefault="002C13F1" w:rsidP="002C13F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349.0546</w:t>
            </w:r>
          </w:p>
        </w:tc>
      </w:tr>
      <w:tr w:rsidR="007D7704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D7704" w:rsidRPr="00B455F2" w:rsidRDefault="007D7704" w:rsidP="007D770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D7704" w:rsidRPr="00B455F2" w:rsidRDefault="007D7704" w:rsidP="007D7704">
            <w:pPr>
              <w:jc w:val="right"/>
              <w:rPr>
                <w:sz w:val="15"/>
                <w:szCs w:val="15"/>
              </w:rPr>
            </w:pPr>
          </w:p>
        </w:tc>
      </w:tr>
      <w:tr w:rsidR="007D7704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7D7704" w:rsidRPr="00B455F2" w:rsidRDefault="007D7704" w:rsidP="007D7704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7D7704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7D7704" w:rsidRPr="00B455F2" w:rsidRDefault="007D7704" w:rsidP="007D77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291"/>
        <w:tblW w:w="8892" w:type="dxa"/>
        <w:tblLayout w:type="fixed"/>
        <w:tblLook w:val="04A0"/>
      </w:tblPr>
      <w:tblGrid>
        <w:gridCol w:w="286"/>
        <w:gridCol w:w="591"/>
        <w:gridCol w:w="47"/>
        <w:gridCol w:w="511"/>
        <w:gridCol w:w="574"/>
        <w:gridCol w:w="613"/>
        <w:gridCol w:w="534"/>
        <w:gridCol w:w="12"/>
        <w:gridCol w:w="537"/>
        <w:gridCol w:w="633"/>
        <w:gridCol w:w="540"/>
        <w:gridCol w:w="537"/>
        <w:gridCol w:w="630"/>
        <w:gridCol w:w="630"/>
        <w:gridCol w:w="540"/>
        <w:gridCol w:w="540"/>
        <w:gridCol w:w="540"/>
        <w:gridCol w:w="597"/>
      </w:tblGrid>
      <w:tr w:rsidR="002F6765" w:rsidRPr="00E73AA6" w:rsidTr="002F6765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2F6765" w:rsidRPr="00E73AA6" w:rsidTr="0077225C">
        <w:trPr>
          <w:cantSplit/>
          <w:trHeight w:val="330"/>
        </w:trPr>
        <w:tc>
          <w:tcPr>
            <w:tcW w:w="28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17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572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2017</w:t>
            </w:r>
          </w:p>
        </w:tc>
      </w:tr>
      <w:tr w:rsidR="0077225C" w:rsidRPr="00E73AA6" w:rsidTr="0077225C">
        <w:trPr>
          <w:trHeight w:val="315"/>
        </w:trPr>
        <w:tc>
          <w:tcPr>
            <w:tcW w:w="286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25C" w:rsidRPr="00E73AA6" w:rsidRDefault="0077225C" w:rsidP="0077225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Oct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Dec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Feb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Oct</w:t>
            </w:r>
          </w:p>
        </w:tc>
      </w:tr>
      <w:tr w:rsidR="0077225C" w:rsidRPr="00E73AA6" w:rsidTr="00420DE5">
        <w:trPr>
          <w:trHeight w:val="192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</w:tr>
      <w:tr w:rsidR="0077225C" w:rsidRPr="00E73AA6" w:rsidTr="00420DE5">
        <w:trPr>
          <w:trHeight w:val="177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sz w:val="14"/>
                <w:szCs w:val="14"/>
              </w:rPr>
            </w:pP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343.9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2,098.7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1,562.3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2,095.6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72.0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2,135.1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1,706.7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2,230.7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7225C" w:rsidRPr="00E73AA6" w:rsidTr="0077225C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7225C" w:rsidRPr="00E73AA6" w:rsidRDefault="0077225C" w:rsidP="0077225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7225C" w:rsidRPr="00E73AA6" w:rsidTr="0077225C">
        <w:trPr>
          <w:trHeight w:val="300"/>
        </w:trPr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530AF6" w:rsidRDefault="0077225C" w:rsidP="0077225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158.8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174.9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1,308.2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1,693.9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557.5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1,889.9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2,175.6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93.7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189.8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1,137.4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2,891.2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3,772.9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2,460.8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542.6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161.7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</w:tr>
      <w:tr w:rsidR="0077225C" w:rsidRPr="00E73AA6" w:rsidTr="0077225C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7225C" w:rsidRPr="00E73AA6" w:rsidRDefault="0077225C" w:rsidP="0077225C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Pr="00D943E2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7225C" w:rsidRDefault="0077225C" w:rsidP="0077225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77225C" w:rsidRPr="00E73AA6" w:rsidTr="00420DE5">
        <w:trPr>
          <w:trHeight w:val="198"/>
        </w:trPr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77225C" w:rsidRPr="00E73AA6" w:rsidRDefault="0077225C" w:rsidP="0077225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77225C" w:rsidRPr="00E73AA6" w:rsidTr="00D6135E">
        <w:trPr>
          <w:trHeight w:val="202"/>
        </w:trPr>
        <w:tc>
          <w:tcPr>
            <w:tcW w:w="4338" w:type="dxa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77225C" w:rsidRPr="00E73AA6" w:rsidRDefault="0077225C" w:rsidP="0077225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77225C" w:rsidRPr="00E73AA6" w:rsidTr="002F6765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25C" w:rsidRPr="00E73AA6" w:rsidRDefault="0077225C" w:rsidP="0077225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sectPr w:rsidR="002F6765" w:rsidSect="00573D1F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04" w:rsidRDefault="007D7704">
      <w:r>
        <w:separator/>
      </w:r>
    </w:p>
  </w:endnote>
  <w:endnote w:type="continuationSeparator" w:id="0">
    <w:p w:rsidR="007D7704" w:rsidRDefault="007D7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04" w:rsidRDefault="00191D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77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7704" w:rsidRDefault="007D77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04" w:rsidRDefault="00191D1C">
    <w:pPr>
      <w:pStyle w:val="Footer"/>
      <w:jc w:val="center"/>
    </w:pPr>
    <w:fldSimple w:instr=" PAGE   \* MERGEFORMAT ">
      <w:r w:rsidR="008D3391">
        <w:rPr>
          <w:noProof/>
        </w:rPr>
        <w:t>130</w:t>
      </w:r>
    </w:fldSimple>
  </w:p>
  <w:p w:rsidR="007D7704" w:rsidRDefault="007D770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04" w:rsidRDefault="007D7704">
      <w:r>
        <w:separator/>
      </w:r>
    </w:p>
  </w:footnote>
  <w:footnote w:type="continuationSeparator" w:id="0">
    <w:p w:rsidR="007D7704" w:rsidRDefault="007D7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F12"/>
    <w:rsid w:val="004734F3"/>
    <w:rsid w:val="00474140"/>
    <w:rsid w:val="00476264"/>
    <w:rsid w:val="004779B7"/>
    <w:rsid w:val="0048027A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F02"/>
    <w:rsid w:val="00635192"/>
    <w:rsid w:val="00636105"/>
    <w:rsid w:val="00636202"/>
    <w:rsid w:val="006365AC"/>
    <w:rsid w:val="006400CF"/>
    <w:rsid w:val="00640EA7"/>
    <w:rsid w:val="006414BB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DB"/>
    <w:rsid w:val="007452CD"/>
    <w:rsid w:val="007452EA"/>
    <w:rsid w:val="00746476"/>
    <w:rsid w:val="007469D2"/>
    <w:rsid w:val="0075088A"/>
    <w:rsid w:val="00750AD6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B25"/>
    <w:rsid w:val="00C84DFA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A962-CFDD-4776-A75D-9403EAD0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3452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24676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58</cp:revision>
  <cp:lastPrinted>2017-10-31T07:38:00Z</cp:lastPrinted>
  <dcterms:created xsi:type="dcterms:W3CDTF">2017-08-23T10:10:00Z</dcterms:created>
  <dcterms:modified xsi:type="dcterms:W3CDTF">2017-11-27T10:48:00Z</dcterms:modified>
</cp:coreProperties>
</file>